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D3F4">
      <w:pPr>
        <w:pageBreakBefore w:val="0"/>
        <w:widowControl/>
        <w:shd w:val="solid" w:color="FFFFFF" w:fill="auto"/>
        <w:kinsoku/>
        <w:overflowPunct/>
        <w:topLinePunct w:val="0"/>
        <w:autoSpaceDN w:val="0"/>
        <w:bidi w:val="0"/>
        <w:adjustRightInd w:val="0"/>
        <w:spacing w:beforeLines="0" w:afterLines="0" w:line="620" w:lineRule="exact"/>
        <w:ind w:left="0" w:leftChars="0" w:firstLine="0" w:firstLineChars="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附件1：合作意向申请表</w:t>
      </w:r>
    </w:p>
    <w:p w14:paraId="593A5B55">
      <w:pPr>
        <w:pStyle w:val="2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3D97D35D">
      <w:pPr>
        <w:pStyle w:val="6"/>
        <w:spacing w:line="620" w:lineRule="exact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-12"/>
          <w:kern w:val="0"/>
          <w:sz w:val="44"/>
          <w:szCs w:val="44"/>
          <w:u w:val="none"/>
          <w:lang w:val="en-US" w:eastAsia="zh-CN" w:bidi="ar"/>
        </w:rPr>
        <w:t>合作意向申请表</w:t>
      </w:r>
    </w:p>
    <w:tbl>
      <w:tblPr>
        <w:tblStyle w:val="4"/>
        <w:tblpPr w:leftFromText="180" w:rightFromText="180" w:vertAnchor="text" w:horzAnchor="page" w:tblpX="1440" w:tblpY="598"/>
        <w:tblOverlap w:val="never"/>
        <w:tblW w:w="91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44"/>
        <w:gridCol w:w="1126"/>
        <w:gridCol w:w="2881"/>
        <w:gridCol w:w="1886"/>
      </w:tblGrid>
      <w:tr w14:paraId="5946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405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律所名称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341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19E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执业许可证号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CC5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1FFE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AB6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3EE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CE9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注册地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C2CD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B9F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4CD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统一社会</w:t>
            </w:r>
          </w:p>
          <w:p w14:paraId="43C2821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70B1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E3EB">
            <w:pPr>
              <w:keepNext w:val="0"/>
              <w:keepLines w:val="0"/>
              <w:pageBreakBefore w:val="0"/>
              <w:widowControl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近3年有无受到行政部门或行业协会的处罚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E93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ACE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0A2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执业律师</w:t>
            </w:r>
          </w:p>
          <w:p w14:paraId="32D58B8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2467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FC6F">
            <w:pPr>
              <w:keepNext w:val="0"/>
              <w:keepLines w:val="0"/>
              <w:pageBreakBefore w:val="0"/>
              <w:widowControl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合伙人数量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1FD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20A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13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23F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优势领域</w:t>
            </w:r>
          </w:p>
        </w:tc>
        <w:tc>
          <w:tcPr>
            <w:tcW w:w="7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96C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4236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27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D51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荣誉奖项</w:t>
            </w:r>
          </w:p>
        </w:tc>
        <w:tc>
          <w:tcPr>
            <w:tcW w:w="7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F27D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5AC5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27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694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主要合作</w:t>
            </w:r>
          </w:p>
          <w:p w14:paraId="4562239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9027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421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0" w:hRule="atLeas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0FBC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主办律师信息</w:t>
            </w:r>
          </w:p>
        </w:tc>
      </w:tr>
      <w:tr w14:paraId="62AE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9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D46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F2C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F12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4CC6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8B3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E07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B0A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A60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A8D7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F8E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396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B18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C58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A77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1FAF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3" w:hRule="atLeas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2D0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团队律师信息</w:t>
            </w:r>
          </w:p>
        </w:tc>
      </w:tr>
      <w:tr w14:paraId="3579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336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52C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B73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专  业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FBD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  <w:t>执业证号</w:t>
            </w:r>
          </w:p>
        </w:tc>
        <w:tc>
          <w:tcPr>
            <w:tcW w:w="1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92B2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4C42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44C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2DE6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CC9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F986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D7E1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07B3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4CB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CC7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A62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56F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4A7A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728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455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2044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6AA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109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9F0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6AEE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0E1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A02A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3D3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002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A801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2C8E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63E5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EF9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29E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63A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E0B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FB3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508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申请合作</w:t>
            </w:r>
          </w:p>
          <w:p w14:paraId="493670A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条件</w:t>
            </w:r>
          </w:p>
        </w:tc>
        <w:tc>
          <w:tcPr>
            <w:tcW w:w="763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E468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必须是经司法行政部门批准的取得执业许可证的律师事务所，已通过司法行政机关最近一年考核，考核结果为合格或合格以上；</w:t>
            </w:r>
          </w:p>
          <w:p w14:paraId="384D30A4">
            <w:pPr>
              <w:pStyle w:val="3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beforeLines="0" w:after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在经营活动中没有重大违法记录；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近三年来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没有受过司法行政部门、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银行业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监管机构、税务机关、银行同业公会以及律师协会的处罚或处分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4DCAB694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负责本项目的律师、服务团队成员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近三年来未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受过司法行政部门、银行保险监管机构、税务机关、银行同业公会以及律师协会的处罚或处分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23BE8696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不存在违反《股份制商业银行独立董事和外部监事制度指引》等监管制度限制性规定的情形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30242D2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具备催收系统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（或案件管理系统）、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录音系统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，系统可以为律所自建系统或非自建系统，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催收记录、录音信息应至少保存3年及以上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3E65F5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未被列入“信用中国”网站(www.creditchina.gov.cn)“记录失信被执行人或重大税收违法失信主体或政府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严重违法失信行为”记录名单；不处于中国政府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网(www.ccgp.gov.cn)“政府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严重违法失信行为信息记录”中的禁止参加政府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活动期间。</w:t>
            </w:r>
          </w:p>
          <w:p w14:paraId="2D3E60B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before="0" w:beforeLines="0" w:afterLines="0" w:line="620" w:lineRule="exact"/>
              <w:ind w:left="0" w:leftChars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□7.未曾与本行发生法律纠纷，不在本行服务供应商黑名单内；</w:t>
            </w:r>
          </w:p>
          <w:p w14:paraId="5AE64392">
            <w:pPr>
              <w:pStyle w:val="3"/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beforeLines="0" w:afterLines="0" w:line="6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□8.不存在法律法规或其他监管规定限制或禁止为本行提供服务的情形。</w:t>
            </w:r>
          </w:p>
          <w:p w14:paraId="1C989979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□9.业务代理年限方面，律所主办律师累计代理信用卡逾期资产批量清收案件的年限≥3年；</w:t>
            </w:r>
          </w:p>
          <w:p w14:paraId="74BA0058">
            <w:pPr>
              <w:pStyle w:val="3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beforeLines="0" w:afterLines="0" w:line="620" w:lineRule="exact"/>
              <w:ind w:firstLine="0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2"/>
                <w:kern w:val="2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10.项目服务经验方面，律所或主办律师需提供至少一项与国有银行、全国性股份制银行、城商行的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pacing w:val="-23"/>
                <w:sz w:val="32"/>
                <w:szCs w:val="32"/>
                <w:highlight w:val="none"/>
                <w:u w:val="none"/>
                <w:shd w:val="clear"/>
                <w:lang w:val="en-US" w:eastAsia="zh-CN" w:bidi="ar"/>
              </w:rPr>
              <w:t>信用卡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2"/>
                <w:kern w:val="2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逾期资产批量清收处置案例；（以上案例包括主办律师现所在律所或过往执业律所的代理案例。）</w:t>
            </w:r>
          </w:p>
        </w:tc>
      </w:tr>
      <w:tr w14:paraId="4C22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185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76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112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701F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1A476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申报/推荐理由</w:t>
            </w:r>
          </w:p>
        </w:tc>
      </w:tr>
      <w:tr w14:paraId="7D75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38" w:hRule="exac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091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59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59B9CFC9">
            <w:pPr>
              <w:pStyle w:val="2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0CDBE234">
            <w:pPr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1028DDB2">
            <w:pPr>
              <w:pStyle w:val="2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6D07DC22">
            <w:pPr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5D3AC1C2">
            <w:pPr>
              <w:pStyle w:val="2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</w:tc>
      </w:tr>
    </w:tbl>
    <w:p w14:paraId="13FACA84">
      <w:pPr>
        <w:pStyle w:val="2"/>
        <w:rPr>
          <w:rFonts w:hint="eastAsia"/>
          <w:lang w:val="en-US" w:eastAsia="zh-CN"/>
        </w:rPr>
      </w:pPr>
    </w:p>
    <w:p w14:paraId="198500B0">
      <w:pPr>
        <w:pageBreakBefore w:val="0"/>
        <w:widowControl/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</w:p>
    <w:p w14:paraId="6503CDEF">
      <w:pPr>
        <w:pageBreakBefore w:val="0"/>
        <w:widowControl/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  <w:t>备注：申报/推荐理由中应包含但不限于：</w:t>
      </w:r>
    </w:p>
    <w:p w14:paraId="7BCD95BC">
      <w:pPr>
        <w:pageBreakBefore w:val="0"/>
        <w:widowControl/>
        <w:numPr>
          <w:ilvl w:val="0"/>
          <w:numId w:val="1"/>
        </w:numPr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  <w:t>申请律所及律师团队就零售信用逾期资产批量清收（含信用卡）的过往业绩，包括主要代理地区和整体立案水平等；</w:t>
      </w:r>
    </w:p>
    <w:p w14:paraId="586AB67B">
      <w:pPr>
        <w:pageBreakBefore w:val="0"/>
        <w:widowControl/>
        <w:numPr>
          <w:ilvl w:val="0"/>
          <w:numId w:val="1"/>
        </w:numPr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  <w:t>申请律所及律师团队合作期间预计处置思路和立案量等。</w:t>
      </w:r>
    </w:p>
    <w:p w14:paraId="03D5D188">
      <w:pPr>
        <w:pageBreakBefore w:val="0"/>
        <w:kinsoku/>
        <w:overflowPunct/>
        <w:topLinePunct w:val="0"/>
        <w:bidi w:val="0"/>
        <w:spacing w:line="6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8506E"/>
    <w:multiLevelType w:val="singleLevel"/>
    <w:tmpl w:val="5218506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C74F5"/>
    <w:rsid w:val="005945A9"/>
    <w:rsid w:val="08993BA9"/>
    <w:rsid w:val="17DC74F5"/>
    <w:rsid w:val="346A5D3A"/>
    <w:rsid w:val="46387C82"/>
    <w:rsid w:val="611873DC"/>
    <w:rsid w:val="6F8A3988"/>
    <w:rsid w:val="7A0A3E85"/>
    <w:rsid w:val="FEB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customStyle="1" w:styleId="6">
    <w:name w:val="正文（首行缩进2字符）"/>
    <w:basedOn w:val="1"/>
    <w:qFormat/>
    <w:uiPriority w:val="99"/>
    <w:pPr>
      <w:ind w:firstLine="4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Office_12.9.0.25779_F1E327BC-269C-435d-A152-05C5408002CA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2025-07-31T16:42:00Z</dcterms:created>
  <dc:creator>朱晓丹</dc:creator>
  <cp:lastModifiedBy>百事可乐</cp:lastModifiedBy>
  <dcterms:modified xsi:type="dcterms:W3CDTF">2026-03-30T09:28:48Z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2052-12.9.0.25779</vt:lpwstr>
  </property>
  <property fmtid="{D5CDD505-2E9C-101B-9397-08002B2CF9AE}" pid="3" name="ICV">
    <vt:lpwstr>D9097878D6D018A9D0D1C96987AD5F42_43</vt:lpwstr>
  </property>
</Properties>
</file>