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b/>
          <w:bCs/>
          <w:sz w:val="44"/>
          <w:szCs w:val="44"/>
        </w:rPr>
        <w:t>广州银行信用卡立享消费分期业务协议</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为维护双方的合法权益，在同意共同遵守适用的法律法规和监管政策，以及《广州银行信用卡章程》、《广州银行信用卡领用合约》的前提下，广州银行股份有限公司及其所有分支行和附属机构（以下简称“甲方”或“我行”）现与业务申办人（以下简称“乙方”或“持卡人”）就申请我行立享消费分期卡及立享消费分期业务相关事宜达成本协议。若乙方申请立享消费分期业务，即表示其已阅读并同意遵守本协议的约定内容，并且对相应的法律后果已全部知晓并充分理解。</w:t>
      </w:r>
    </w:p>
    <w:p>
      <w:pPr>
        <w:numPr>
          <w:ilvl w:val="255"/>
          <w:numId w:val="0"/>
        </w:numPr>
        <w:spacing w:before="120" w:line="62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第一条 个人信息授权及保密</w:t>
      </w:r>
    </w:p>
    <w:p>
      <w:pPr>
        <w:pStyle w:val="18"/>
        <w:widowControl w:val="0"/>
        <w:spacing w:line="660" w:lineRule="atLeast"/>
        <w:ind w:firstLine="640" w:firstLineChars="200"/>
        <w:rPr>
          <w:rFonts w:ascii="华文仿宋" w:hAnsi="华文仿宋" w:eastAsia="华文仿宋" w:cs="华文仿宋"/>
          <w:b/>
          <w:bCs/>
          <w:sz w:val="32"/>
          <w:szCs w:val="32"/>
        </w:rPr>
      </w:pPr>
      <w:r>
        <w:rPr>
          <w:rFonts w:hint="eastAsia" w:ascii="华文仿宋" w:hAnsi="华文仿宋" w:eastAsia="华文仿宋" w:cs="华文仿宋"/>
          <w:sz w:val="32"/>
          <w:szCs w:val="32"/>
        </w:rPr>
        <w:t>（一）乙方保证其应按甲方规定的内容和方式，准确、完整、合法、真实地提交信用卡申请信息和证明资料（下称申请资料）。</w:t>
      </w:r>
      <w:r>
        <w:rPr>
          <w:rFonts w:hint="eastAsia" w:ascii="华文仿宋" w:hAnsi="华文仿宋" w:eastAsia="华文仿宋" w:cs="华文仿宋"/>
          <w:b/>
          <w:bCs/>
          <w:sz w:val="32"/>
          <w:szCs w:val="32"/>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32"/>
          <w:szCs w:val="32"/>
        </w:rPr>
        <w:t>并</w:t>
      </w:r>
      <w:r>
        <w:rPr>
          <w:rFonts w:hint="eastAsia" w:ascii="华文仿宋" w:hAnsi="华文仿宋" w:eastAsia="华文仿宋"/>
          <w:b/>
          <w:sz w:val="32"/>
          <w:szCs w:val="32"/>
        </w:rPr>
        <w:t>决定是否同意乙方的业务办理申请，必要时可要求乙方提供合适的担保。</w:t>
      </w:r>
      <w:r>
        <w:rPr>
          <w:rFonts w:hint="eastAsia" w:ascii="华文仿宋" w:hAnsi="华文仿宋" w:eastAsia="华文仿宋"/>
          <w:b/>
          <w:bCs/>
          <w:sz w:val="32"/>
          <w:szCs w:val="32"/>
        </w:rPr>
        <w:t>乙方不得为其分期信用卡申领附属卡。</w:t>
      </w:r>
      <w:r>
        <w:rPr>
          <w:rFonts w:hint="eastAsia" w:ascii="华文仿宋" w:hAnsi="华文仿宋" w:eastAsia="华文仿宋"/>
          <w:b/>
          <w:sz w:val="32"/>
          <w:szCs w:val="32"/>
        </w:rPr>
        <w:t>无论乙方申请是否成功，相关申请资料均不予退回。</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（二）乙方同意并授权甲方：</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采集、查询、传递、使用、核验、留存乙方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2.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5年。</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3.依据法律法规规定或监管要求，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4.乙方授权甲方基于履行本合约及提供服务的目的（包括但不限于身份核验、联名卡持卡人信息交互、活动服务及通知、权益及礼品配送等），采集乙方及附属卡申请人提供的个人信息并自行传递、使用、核验、留存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5.如乙方由其他广州银行信用卡持卡人推荐申请信用卡，则乙方同意甲方将乙方信用卡的申请进度和推荐完成进度开放给乙方的推荐人查询。</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3"/>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乙方知悉、理解并同意上述授权条款。乙方提供的申请表等资料上的信息如有变更或失效的，应立即联系甲方予以变更。</w:t>
      </w:r>
    </w:p>
    <w:p>
      <w:pPr>
        <w:pStyle w:val="18"/>
        <w:spacing w:line="360" w:lineRule="auto"/>
        <w:ind w:firstLine="643" w:firstLineChars="200"/>
        <w:rPr>
          <w:rFonts w:ascii="华文仿宋" w:hAnsi="华文仿宋" w:eastAsia="华文仿宋" w:cs="华文仿宋"/>
          <w:b/>
          <w:bCs/>
          <w:kern w:val="2"/>
          <w:sz w:val="32"/>
          <w:szCs w:val="32"/>
        </w:rPr>
      </w:pPr>
      <w:r>
        <w:rPr>
          <w:rFonts w:hint="eastAsia" w:ascii="华文仿宋" w:hAnsi="华文仿宋" w:eastAsia="华文仿宋" w:cs="华文仿宋"/>
          <w:b/>
          <w:bCs/>
          <w:sz w:val="32"/>
          <w:szCs w:val="32"/>
        </w:rPr>
        <w:t>（三）</w:t>
      </w:r>
      <w:r>
        <w:rPr>
          <w:rFonts w:hint="eastAsia" w:ascii="华文仿宋" w:hAnsi="华文仿宋" w:eastAsia="华文仿宋" w:cs="华文仿宋"/>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8"/>
        <w:widowControl w:val="0"/>
        <w:spacing w:line="360" w:lineRule="auto"/>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kern w:val="2"/>
          <w:sz w:val="32"/>
          <w:szCs w:val="32"/>
        </w:rPr>
        <w:t>（四）当甲、乙双方基于调解纠纷争议目的下向第三方调解组织申请介入调解时，乙方授权甲方将必要的个人身份及欠款账户信息等个人金融信息提供给第三方调解组织。</w:t>
      </w:r>
    </w:p>
    <w:p>
      <w:pPr>
        <w:pStyle w:val="3"/>
        <w:numPr>
          <w:ilvl w:val="255"/>
          <w:numId w:val="0"/>
        </w:numPr>
        <w:spacing w:line="360" w:lineRule="auto"/>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3"/>
        <w:spacing w:line="360" w:lineRule="auto"/>
        <w:ind w:firstLine="643"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（六）乙方同意并授权甲方根据法律法规、监管规范要求以及为实现本合约目的，在所必需的时限内保留其个人信息。</w:t>
      </w:r>
    </w:p>
    <w:p>
      <w:pPr>
        <w:numPr>
          <w:ilvl w:val="255"/>
          <w:numId w:val="0"/>
        </w:num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（八）乙方对其个人信息的处理享有知情权、决定权。乙方发现其个人信息不准确或者不完整的，有权请求甲方更正、补充。法律法规有规定的，从其规定。</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立享消费分期卡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（一）立享消费分期卡仅限人民币币种。</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（二）立享消费分期卡授信额度为独立额度，不与其他信用卡或分期额度共享，用于在我行指定类型商户消费，无透支转账、透支取现等预借现金功能。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（三）立享消费分期卡额度需单独申请（首次除外），每次申请额度有效期为自客户的办理申请进入审批系统当天起90天内。</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我行实施严格审慎的额度动态管理，有权根据持卡人用卡、资信、风险情况，对已授予的卡片额度实施重新评估、测算和确定。对于风险状况出现异常的持卡人，我行有权及时采取调减或取消额度等措施。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卡片额度到期后持卡人可再次申请卡片额度，具体批核额度以我行综合评估结果为准。</w:t>
      </w:r>
    </w:p>
    <w:p>
      <w:pPr>
        <w:numPr>
          <w:ilvl w:val="255"/>
          <w:numId w:val="0"/>
        </w:numPr>
        <w:spacing w:line="660" w:lineRule="atLeast"/>
        <w:ind w:firstLine="640" w:firstLineChars="200"/>
        <w:rPr>
          <w:rFonts w:ascii="华文仿宋" w:hAnsi="华文仿宋" w:eastAsia="华文仿宋" w:cs="华文仿宋"/>
          <w:sz w:val="32"/>
          <w:szCs w:val="32"/>
        </w:rPr>
      </w:pPr>
      <w:r>
        <w:rPr>
          <w:rFonts w:hint="eastAsia" w:ascii="仿宋_GB2312" w:hAnsi="仿宋_GB2312" w:eastAsia="仿宋_GB2312" w:cs="仿宋_GB2312"/>
          <w:sz w:val="32"/>
          <w:szCs w:val="32"/>
        </w:rPr>
        <w:t>（四）持卡人需与我行提前约定额度有效期内的分期期数和分期年化利率，可选择期数及年化利率以我行系统实时展示为准，最终批核期数及年化利率以我行综合评估结果为准。单个额度有效期内不能调整分期期数和年化利率。</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立享消费分期业务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（一）“立享消费分期业务”是我行为持有立享消费分期卡且符合条件的持卡人提供的，对其信用卡本期账单内符合条件的消费余额提供的分期付款服务。</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持卡人向我行申请立享消费分期业务，持卡人可自主设置立享消费分期业务的分期约定金额，持卡人同意，在我行批核额度有效期内，当期账单中的新增消费（不包含利息、违约金、年费、工本费、挂失费、服务及调单费、短信费、分期付款以及我行规定的其他交易及费用的交易）汇总金额大于或等于约定金额（最低起始金额为人民币500元），则该汇总金额将分期。</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（三）立享消费分期业务申请是否通过，以我行综合评估结果为准。若申请未通过，持卡人需在最后还款日前按要求还款。</w:t>
      </w:r>
    </w:p>
    <w:p>
      <w:pPr>
        <w:spacing w:line="620" w:lineRule="exact"/>
        <w:ind w:firstLine="643"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b/>
          <w:bCs/>
          <w:sz w:val="32"/>
          <w:szCs w:val="32"/>
        </w:rPr>
        <w:t>（四）持卡人申请立享消费分期业务后，一经办理，不能撤销且不能更改分期金额、年化利率和期数。</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持卡人可申请立享消费分期业务的期数为3-60期不等，年化利率为0-24%。以上年化利率是根据持卡人现金流计算的年化内含报酬率，会因持卡人资信状况不同，及办理期数、还款方式不同而有差异。持卡人实际适用的年化利率，请以批核结果告知页面/短信为准。</w:t>
      </w:r>
    </w:p>
    <w:p>
      <w:pPr>
        <w:numPr>
          <w:ilvl w:val="0"/>
          <w:numId w:val="1"/>
        </w:num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若持卡人的立享消费分期卡账单周期跨不同的额度有效期，且在不同的额度有效期的分期利率、期数不一致，则实际分期利率、期数以该账单周期内最新签署的协议及我行最新批核的分期卡额度有效期内的分期利率、期数为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持卡人可通过我行客服热线96699（广东）400-83-96699（全国）86-20-96699（境外）等我行认可的其他渠道查询实际年化利率。</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持卡人可选择按以下两种分摊方式来分期偿还本金及利息（具体可选择的还款方式以客户申请时系统或申请页面显示为准）。分摊方式一经选择且经我行审核通过，则不能更改。立享消费分期业务每期应还本金和利息将同时入账,计算方式如下：</w:t>
      </w:r>
    </w:p>
    <w:p>
      <w:pPr>
        <w:pStyle w:val="17"/>
        <w:numPr>
          <w:ilvl w:val="255"/>
          <w:numId w:val="0"/>
        </w:numPr>
        <w:spacing w:line="620" w:lineRule="exact"/>
        <w:ind w:firstLine="641"/>
        <w:rPr>
          <w:rFonts w:ascii="仿宋_GB2312" w:hAnsi="仿宋_GB2312" w:eastAsia="仿宋_GB2312" w:cs="仿宋_GB2312"/>
          <w:sz w:val="32"/>
          <w:szCs w:val="32"/>
        </w:rPr>
      </w:pPr>
      <w:r>
        <w:rPr>
          <w:rFonts w:ascii="华文仿宋" w:hAnsi="华文仿宋" w:eastAsia="华文仿宋" w:cs="华文仿宋"/>
          <w:b/>
          <w:bCs/>
          <w:sz w:val="32"/>
          <w:szCs w:val="32"/>
        </w:rPr>
        <w:t>1．</w:t>
      </w:r>
      <w:r>
        <w:rPr>
          <w:rFonts w:hint="eastAsia" w:ascii="仿宋_GB2312" w:hAnsi="仿宋_GB2312" w:eastAsia="仿宋_GB2312" w:cs="仿宋_GB2312"/>
          <w:b/>
          <w:bCs/>
          <w:sz w:val="32"/>
          <w:szCs w:val="32"/>
        </w:rPr>
        <w:t>每期支付利息，最后一期偿还本金（先息后本）。</w:t>
      </w:r>
    </w:p>
    <w:p>
      <w:pPr>
        <w:pStyle w:val="17"/>
        <w:numPr>
          <w:ilvl w:val="255"/>
          <w:numId w:val="0"/>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每期利息=总本金×月利率；最后一期应偿还本金=总本金。</w:t>
      </w:r>
    </w:p>
    <w:p>
      <w:pPr>
        <w:numPr>
          <w:ilvl w:val="255"/>
          <w:numId w:val="0"/>
        </w:numPr>
        <w:spacing w:before="120" w:line="620" w:lineRule="exact"/>
        <w:ind w:firstLine="643" w:firstLineChars="200"/>
        <w:rPr>
          <w:rFonts w:ascii="仿宋_GB2312" w:hAnsi="仿宋_GB2312" w:eastAsia="仿宋_GB2312" w:cs="仿宋_GB2312"/>
          <w:b/>
          <w:bCs/>
          <w:kern w:val="0"/>
          <w:sz w:val="32"/>
          <w:szCs w:val="32"/>
        </w:rPr>
      </w:pPr>
      <w:r>
        <w:rPr>
          <w:rFonts w:ascii="华文仿宋" w:hAnsi="华文仿宋" w:eastAsia="华文仿宋" w:cs="华文仿宋"/>
          <w:b/>
          <w:bCs/>
          <w:sz w:val="32"/>
          <w:szCs w:val="32"/>
        </w:rPr>
        <w:t>2</w:t>
      </w:r>
      <w:r>
        <w:rPr>
          <w:rFonts w:hint="eastAsia" w:ascii="华文仿宋" w:hAnsi="华文仿宋" w:eastAsia="华文仿宋" w:cs="华文仿宋"/>
          <w:b/>
          <w:bCs/>
          <w:sz w:val="32"/>
          <w:szCs w:val="32"/>
        </w:rPr>
        <w:t>．</w:t>
      </w:r>
      <w:r>
        <w:rPr>
          <w:rFonts w:hint="eastAsia" w:ascii="仿宋_GB2312" w:hAnsi="仿宋_GB2312" w:eastAsia="仿宋_GB2312" w:cs="仿宋_GB2312"/>
          <w:b/>
          <w:bCs/>
          <w:kern w:val="0"/>
          <w:sz w:val="32"/>
          <w:szCs w:val="32"/>
        </w:rPr>
        <w:t>每期支付同等数额的本金与利息和，但每期应还款额中本金逐月递增，利息逐月递减（等额本息）。</w:t>
      </w:r>
    </w:p>
    <w:p>
      <w:pPr>
        <w:numPr>
          <w:ilvl w:val="255"/>
          <w:numId w:val="0"/>
        </w:numPr>
        <w:spacing w:before="120"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每期应还款额=[本金×月利率×（1+月利率）</w:t>
      </w:r>
      <w:r>
        <w:rPr>
          <w:rFonts w:hint="eastAsia" w:ascii="仿宋_GB2312" w:hAnsi="仿宋_GB2312" w:eastAsia="仿宋_GB2312" w:cs="仿宋_GB2312"/>
          <w:kern w:val="0"/>
          <w:sz w:val="32"/>
          <w:szCs w:val="32"/>
          <w:vertAlign w:val="superscript"/>
        </w:rPr>
        <w:t>还款期数</w:t>
      </w:r>
      <w:r>
        <w:rPr>
          <w:rFonts w:hint="eastAsia" w:ascii="仿宋_GB2312" w:hAnsi="仿宋_GB2312" w:eastAsia="仿宋_GB2312" w:cs="仿宋_GB2312"/>
          <w:kern w:val="0"/>
          <w:sz w:val="32"/>
          <w:szCs w:val="32"/>
        </w:rPr>
        <w:t>]÷[(1+月利率）</w:t>
      </w:r>
      <w:r>
        <w:rPr>
          <w:rFonts w:hint="eastAsia" w:ascii="仿宋_GB2312" w:hAnsi="仿宋_GB2312" w:eastAsia="仿宋_GB2312" w:cs="仿宋_GB2312"/>
          <w:kern w:val="0"/>
          <w:sz w:val="32"/>
          <w:szCs w:val="32"/>
          <w:vertAlign w:val="superscript"/>
        </w:rPr>
        <w:t>还款期数</w:t>
      </w:r>
      <w:r>
        <w:rPr>
          <w:rFonts w:hint="eastAsia" w:ascii="仿宋_GB2312" w:hAnsi="仿宋_GB2312" w:eastAsia="仿宋_GB2312" w:cs="仿宋_GB2312"/>
          <w:kern w:val="0"/>
          <w:sz w:val="32"/>
          <w:szCs w:val="32"/>
        </w:rPr>
        <w:t>-1]；每期利息=上期末剩余本金×月利率；每期本金=每期应还款额-每期利息。其中，月利率=年化利率÷12。</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通过以上分摊方式计算得出的每期应还款额（含本金和利息）精确到分位（四舍五入）。</w:t>
      </w:r>
    </w:p>
    <w:p>
      <w:pPr>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每期应还本金自分期申请成功后的第一个账单日期逐月计入每期账单。每期应还分期利息随入账本金计入信用卡账单，一经收取，不予退还。</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（八）立享消费分期业务的每月应还本金及利息将全额计入分期业务办理成功后还款期内的每期信用卡账单的最低还款额中。</w:t>
      </w:r>
    </w:p>
    <w:p>
      <w:pPr>
        <w:numPr>
          <w:ilvl w:val="255"/>
          <w:numId w:val="0"/>
        </w:num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（九）持卡人的还款将按如下顺序冲还应还款项：</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正常或逾期90天（含）以内状态账户：同一期的欠款，还款顺序为：利息、费用（费用冲减顺序：违约金、年费、工本费、挂失费、服务及调单费、短信费、其他手续费）、分期付款、消费本金。往期有欠款时，先还往期，再还本期。</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2.逾期90天以上状态账户：逾期90天以上本金、逾期 90 天以上费用（费用冲减顺序：违约金、年费、工本费、挂失费、服务及调单费、短信费、其他手续费）、逾期 90 天以上利息、逾期90天以上复利、逾期 90 天以下复利、逾期90天以下利息、费用（费用冲减顺序：违约金、年费、工本费、挂失费、服务及调单费、短信费、其他手续费）、分期付款、消费本金。</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在此逻辑下，如同一账户项下同时存在多笔立享消费分期的，按照各笔分期入账的先后顺序冲还。</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持卡人确认在申请、使用立享消费分期过程中，本协议内容、各渠道上显示的内容、我行发送到持卡人手机的信息（短信或电话等）等均是持卡人申请、使用立享消费分期的相关规则，持卡人申请立享消费分期即表示持卡人同意接受立享消费分期的所有规则。</w:t>
      </w:r>
    </w:p>
    <w:p>
      <w:pPr>
        <w:spacing w:line="620" w:lineRule="exact"/>
        <w:ind w:firstLine="640"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sz w:val="32"/>
          <w:szCs w:val="32"/>
        </w:rPr>
        <w:t>（十一）持卡人承诺在申请、使用立享消费分期时，实施的所有行为均未违反法律、法规和社会公共利益或公共道德。持卡人利用立享消费分期从事违法活动或不正当交易等产生的一切后果与责任，由持卡人独立承担。</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持卡人应知晓我行非网络服务商，并理解在立享消费分期提供过程中所需的合理时间。持卡人申请、使用立享消费分期时，可能因系统传输延时等原因致使相关资金无法正常入账，交易结果一律以我行系统记录结果为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（十三）立享消费分期业务包含的消费交易不会根据《广州银行信用卡积分活动细则》的规定计算积分。立享消费分期每期分摊本金及利息也不另行计算积分，另有约定的除外。</w:t>
      </w:r>
    </w:p>
    <w:p>
      <w:pPr>
        <w:spacing w:line="620" w:lineRule="exact"/>
        <w:ind w:firstLine="643" w:firstLineChars="200"/>
        <w:rPr>
          <w:rFonts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（十四）持卡人按月偿还其信用卡账单后其账户仍有多余款项的，该款项将视为自有存款。我行既不会提前清偿账单分期本金或利息，亦不会计付利息。</w:t>
      </w:r>
    </w:p>
    <w:p>
      <w:pPr>
        <w:spacing w:line="62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（十五）</w:t>
      </w:r>
      <w:r>
        <w:rPr>
          <w:rFonts w:hint="eastAsia" w:ascii="仿宋_GB2312" w:hAnsi="仿宋_GB2312" w:eastAsia="仿宋_GB2312" w:cs="仿宋_GB2312"/>
          <w:sz w:val="32"/>
          <w:szCs w:val="32"/>
        </w:rPr>
        <w:t>若要提前清偿已成功办理的立享消费分期业务的剩余未偿还款项，持卡人需致电我行客服热线96699（广东）400-83-96699（全国）86-20-96699（境外）。</w:t>
      </w:r>
      <w:r>
        <w:rPr>
          <w:rFonts w:hint="eastAsia" w:ascii="仿宋_GB2312" w:hAnsi="仿宋_GB2312" w:eastAsia="仿宋_GB2312" w:cs="仿宋_GB2312"/>
          <w:b/>
          <w:bCs/>
          <w:sz w:val="32"/>
          <w:szCs w:val="32"/>
        </w:rPr>
        <w:t>提前还款申请通过后，持卡人剩余未还分期本金视为到期应付，且已入账的利息不予退还。持卡人除须一次性支付剩余未还所有分期本金外，还须支付剩余未还分期本金的</w:t>
      </w:r>
      <w:r>
        <w:rPr>
          <w:rFonts w:hint="eastAsia" w:ascii="仿宋" w:hAnsi="仿宋" w:eastAsia="仿宋" w:cs="仿宋_GB2312"/>
          <w:b/>
          <w:bCs/>
          <w:sz w:val="32"/>
          <w:szCs w:val="32"/>
        </w:rPr>
        <w:t>一定比例</w:t>
      </w:r>
      <w:r>
        <w:rPr>
          <w:rFonts w:hint="eastAsia" w:ascii="仿宋_GB2312" w:hAnsi="仿宋_GB2312" w:eastAsia="仿宋_GB2312" w:cs="仿宋_GB2312"/>
          <w:b/>
          <w:bCs/>
          <w:sz w:val="32"/>
          <w:szCs w:val="32"/>
        </w:rPr>
        <w:t>作为提前还款违约金</w:t>
      </w:r>
      <w:r>
        <w:rPr>
          <w:rFonts w:hint="eastAsia" w:ascii="仿宋" w:hAnsi="仿宋" w:eastAsia="仿宋" w:cs="仿宋_GB2312"/>
          <w:b/>
          <w:bCs/>
          <w:kern w:val="0"/>
          <w:sz w:val="32"/>
          <w:szCs w:val="32"/>
        </w:rPr>
        <w:t>（先息后本为</w:t>
      </w:r>
      <w:r>
        <w:rPr>
          <w:rFonts w:ascii="仿宋" w:hAnsi="仿宋" w:eastAsia="仿宋" w:cs="仿宋_GB2312"/>
          <w:b/>
          <w:bCs/>
          <w:kern w:val="0"/>
          <w:sz w:val="32"/>
          <w:szCs w:val="32"/>
        </w:rPr>
        <w:t>2%，等额本息为</w:t>
      </w:r>
      <w:r>
        <w:rPr>
          <w:rFonts w:hint="eastAsia" w:ascii="仿宋" w:hAnsi="仿宋" w:eastAsia="仿宋" w:cs="仿宋_GB2312"/>
          <w:b/>
          <w:bCs/>
          <w:kern w:val="0"/>
          <w:sz w:val="32"/>
          <w:szCs w:val="32"/>
          <w:lang w:val="en-US" w:eastAsia="zh-CN"/>
        </w:rPr>
        <w:t>1</w:t>
      </w:r>
      <w:r>
        <w:rPr>
          <w:rFonts w:ascii="仿宋" w:hAnsi="仿宋" w:eastAsia="仿宋" w:cs="仿宋_GB2312"/>
          <w:b/>
          <w:bCs/>
          <w:kern w:val="0"/>
          <w:sz w:val="32"/>
          <w:szCs w:val="32"/>
        </w:rPr>
        <w:t>%）</w:t>
      </w:r>
      <w:r>
        <w:rPr>
          <w:rFonts w:hint="eastAsia" w:ascii="仿宋_GB2312" w:hAnsi="仿宋_GB2312" w:eastAsia="仿宋_GB2312" w:cs="仿宋_GB2312"/>
          <w:b/>
          <w:bCs/>
          <w:sz w:val="32"/>
          <w:szCs w:val="32"/>
        </w:rPr>
        <w:t>，未入账的剩余各期未还利息不再收取，我行与持卡人另行约定的除外</w:t>
      </w:r>
      <w:r>
        <w:rPr>
          <w:rFonts w:hint="eastAsia" w:ascii="仿宋_GB2312" w:hAnsi="仿宋_GB2312" w:eastAsia="仿宋_GB2312" w:cs="仿宋_GB2312"/>
          <w:b/>
          <w:sz w:val="32"/>
          <w:szCs w:val="32"/>
        </w:rPr>
        <w:t>。若</w:t>
      </w:r>
      <w:r>
        <w:rPr>
          <w:rFonts w:hint="eastAsia" w:ascii="仿宋_GB2312" w:hAnsi="仿宋_GB2312" w:eastAsia="仿宋_GB2312" w:cs="仿宋_GB2312"/>
          <w:b/>
          <w:sz w:val="32"/>
          <w:szCs w:val="32"/>
          <w:lang w:eastAsia="zh-CN"/>
        </w:rPr>
        <w:t>持卡人</w:t>
      </w:r>
      <w:r>
        <w:rPr>
          <w:rFonts w:hint="eastAsia" w:ascii="仿宋_GB2312" w:hAnsi="仿宋_GB2312" w:eastAsia="仿宋_GB2312" w:cs="仿宋_GB2312"/>
          <w:b/>
          <w:sz w:val="32"/>
          <w:szCs w:val="32"/>
        </w:rPr>
        <w:t>在</w:t>
      </w:r>
      <w:r>
        <w:rPr>
          <w:rFonts w:hint="eastAsia" w:ascii="仿宋_GB2312" w:hAnsi="仿宋_GB2312" w:eastAsia="仿宋_GB2312" w:cs="仿宋_GB2312"/>
          <w:b/>
          <w:sz w:val="32"/>
          <w:szCs w:val="32"/>
          <w:lang w:eastAsia="zh-CN"/>
        </w:rPr>
        <w:t>该笔</w:t>
      </w:r>
      <w:r>
        <w:rPr>
          <w:rFonts w:hint="eastAsia" w:ascii="仿宋_GB2312" w:hAnsi="仿宋_GB2312" w:eastAsia="仿宋_GB2312" w:cs="仿宋_GB2312"/>
          <w:b/>
          <w:bCs/>
          <w:sz w:val="32"/>
          <w:szCs w:val="32"/>
        </w:rPr>
        <w:t>立享消费分期业务</w:t>
      </w:r>
      <w:r>
        <w:rPr>
          <w:rFonts w:hint="eastAsia" w:ascii="仿宋_GB2312" w:hAnsi="仿宋_GB2312" w:eastAsia="仿宋_GB2312" w:cs="仿宋_GB2312"/>
          <w:b/>
          <w:sz w:val="32"/>
          <w:szCs w:val="32"/>
        </w:rPr>
        <w:t>存续期满24个月后申请提前还款，我行将免收提前还款违约金。</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spacing w:line="6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（十六）若持卡人的信用卡已至有效期并获得信用卡续期，已产生的立享消费分期业务不会因此而终止，剩余未还每月应还本金及利息将自动转入账户中；</w:t>
      </w:r>
      <w:r>
        <w:rPr>
          <w:rFonts w:hint="eastAsia" w:ascii="仿宋_GB2312" w:hAnsi="仿宋_GB2312" w:eastAsia="仿宋_GB2312" w:cs="仿宋_GB2312"/>
          <w:b/>
          <w:bCs/>
          <w:sz w:val="32"/>
          <w:szCs w:val="32"/>
        </w:rPr>
        <w:t>若持卡人信用卡到期不再续卡，持卡人应就未结清的立享消费分期业务进行提前还款。</w:t>
      </w:r>
      <w:r>
        <w:rPr>
          <w:rFonts w:hint="eastAsia" w:ascii="仿宋_GB2312" w:hAnsi="仿宋_GB2312" w:eastAsia="仿宋_GB2312" w:cs="仿宋_GB2312"/>
          <w:sz w:val="32"/>
          <w:szCs w:val="32"/>
        </w:rPr>
        <w:t>提前还款具体操作请参见本协议第三条（十五）办理。</w:t>
      </w:r>
    </w:p>
    <w:p>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（十七）若需在立享消费分期业务还款期内注销立享消费分期信用卡，持卡人应将尚未偿还的本金及利息进行提前还款才能注销立享消费分期信用卡。</w:t>
      </w:r>
      <w:r>
        <w:rPr>
          <w:rFonts w:hint="eastAsia" w:ascii="仿宋_GB2312" w:hAnsi="仿宋_GB2312" w:eastAsia="仿宋_GB2312" w:cs="仿宋_GB2312"/>
          <w:sz w:val="32"/>
          <w:szCs w:val="32"/>
        </w:rPr>
        <w:t>提前还款具体操作请参见本协议第三条（十五）办理。</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十八）立享消费分期资金仅可用于符合法律、法规规定的居民日常消费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保留分期款项的相关交易凭证，交易凭证须保留不少于36个月，并通过我行官方APP或微信公众号等方式上传交易凭证。乙方需对凭证的真实性和完整性负责，我行将有权随时调阅交易凭证并有要求乙方补充、说明的权利。 </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若乙方未按照承诺违反上述约定或无法证明已用于约定用途或未按时提供有效交易凭证的，或乙方、乙方账户或交易涉嫌洗钱、恐怖融资、扩散融资、逃税、涉及制裁风险或其他违反可适用法律法规的情况，我行可在无须事先通知乙方的情况下，对其信用卡采取包括但不限于限制交易、降低授信额度、止付、提前还款等管控措施。</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其他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hint="eastAsia" w:ascii="仿宋_GB2312" w:hAnsi="仿宋_GB2312" w:eastAsia="仿宋_GB2312" w:cs="仿宋_GB2312"/>
          <w:b/>
          <w:bCs/>
          <w:sz w:val="32"/>
          <w:szCs w:val="32"/>
        </w:rPr>
        <w:t>持卡人对立享消费分期业务包含的消费交易进行退货处理时，已办理成功的分期业务不受影响，未偿还的分期本金及利息将继续正常分期入账。</w:t>
      </w:r>
      <w:r>
        <w:rPr>
          <w:rFonts w:hint="eastAsia" w:ascii="仿宋_GB2312" w:hAnsi="仿宋_GB2312" w:eastAsia="仿宋_GB2312" w:cs="仿宋_GB2312"/>
          <w:sz w:val="32"/>
          <w:szCs w:val="32"/>
        </w:rPr>
        <w:t>若需要对该笔分期进行提前还款，可按照本协议第三条（十五）进行办理。</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我行因其认定的正当理由（包括但不限于：持卡人有任何舞弊、欺诈或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卡人违反了《广州银行信用卡章程》、《广州银行信用卡领用合约》、本协议中的任何规定或我行相关规定等）确定持卡人的账户不再适合进行立享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（三）甲方有权通过本行网站或其他新闻媒体实行公告催收，并有权向人民法院申请将未履行判决义务的乙方纳入失信被执行人名单，由人民法院向社会公示，人民法院可根据其方式予以公布。</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持卡人确认我行对本协议中有关免除或限制我行责任、我行单方面拥有某些权利、增加持卡人责任、我行单方面拥有某些权利、增加持卡人责任或限制持卡人权利的条款，均已向持卡人本人进行了提示和说明。</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（五）本协议自持卡人申请立享消费分期业务之日起生效；本协议生效后，双方应全面履行本协议约定的义务，任何一方不履行或不完全履行约定义务，应承担相应的违约责任，并赔偿因此给对方造成的损失。</w:t>
      </w:r>
    </w:p>
    <w:p>
      <w:pPr>
        <w:spacing w:line="6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我行在法律许可的范围内保留修改本协议及终止立享消费分期业务的权利，并通过我行认为合适的方式将此等修改或终止立享消费分期业务事宜向持卡人公告。本协议变更事项自公告中载明的生效日期开始生效，持卡人有权在公告期内选择是否同意上述变更。如不接受上述变更，持卡人应在公告中载明的生效日期前终止使用立享消费分期，并按照本协议第三条（十五）规定办理提前还款，提前一次性偿还全部剩余欠款（包括但不限于未还本金、利息、违约金以及其他一切相关费用等），已收取的利息不予退还。否则视为持卡人同意上述变更，变更后的内容对持卡人具有法律约束力。</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（七）乙方如对本合约条款有任何疑义，或需进行业务咨询和投诉，乙方可通过至甲方营业网点或拨打卡片背面信用卡客服热线等方式反馈，由双方协商共同解决或申请调解方式化解纠纷。</w:t>
      </w:r>
    </w:p>
    <w:p>
      <w:pPr>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本行客户服务电话：96699（广东）400-83-96699（全国）86-20-96699（境外）；投诉受理邮箱：GZCB96699@gzcb.com.cn；官方微信公众号：广州银行信用卡中心；公告渠道：广州银行信用卡中心网站（https://creditcard.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line="620" w:lineRule="exact"/>
        <w:ind w:firstLine="640" w:firstLineChars="200"/>
        <w:rPr>
          <w:rFonts w:ascii="仿宋_GB2312" w:hAnsi="仿宋_GB2312" w:eastAsia="仿宋_GB2312" w:cs="仿宋_GB2312"/>
          <w:sz w:val="32"/>
          <w:szCs w:val="32"/>
          <w:highlight w:val="lightGray"/>
        </w:rPr>
      </w:pPr>
      <w:r>
        <w:rPr>
          <w:rFonts w:hint="eastAsia" w:ascii="仿宋_GB2312" w:hAnsi="仿宋_GB2312" w:eastAsia="仿宋_GB2312" w:cs="仿宋_GB2312"/>
          <w:sz w:val="32"/>
          <w:szCs w:val="32"/>
        </w:rPr>
        <w:t>（九）本协议未尽事宜按照《广州银行信用卡章程》、《广州银行信用卡领用合约》、银行业务和卡组织相关规定及金融惯例办理。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1E129"/>
    <w:multiLevelType w:val="singleLevel"/>
    <w:tmpl w:val="93F1E12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00053C28"/>
    <w:rsid w:val="00055172"/>
    <w:rsid w:val="0007105C"/>
    <w:rsid w:val="00072AB7"/>
    <w:rsid w:val="0009247B"/>
    <w:rsid w:val="000B14C5"/>
    <w:rsid w:val="00146A93"/>
    <w:rsid w:val="00171E78"/>
    <w:rsid w:val="0018068F"/>
    <w:rsid w:val="001C2916"/>
    <w:rsid w:val="00206802"/>
    <w:rsid w:val="002372D2"/>
    <w:rsid w:val="00257763"/>
    <w:rsid w:val="002B3238"/>
    <w:rsid w:val="002B6AD9"/>
    <w:rsid w:val="002F38AA"/>
    <w:rsid w:val="00332E31"/>
    <w:rsid w:val="00380884"/>
    <w:rsid w:val="003A35BA"/>
    <w:rsid w:val="003B21A0"/>
    <w:rsid w:val="00406C51"/>
    <w:rsid w:val="00426238"/>
    <w:rsid w:val="00470B72"/>
    <w:rsid w:val="00482469"/>
    <w:rsid w:val="004E319E"/>
    <w:rsid w:val="004E5F94"/>
    <w:rsid w:val="004E79D5"/>
    <w:rsid w:val="00515D71"/>
    <w:rsid w:val="00541CF7"/>
    <w:rsid w:val="00546A0E"/>
    <w:rsid w:val="0059096D"/>
    <w:rsid w:val="00592DF2"/>
    <w:rsid w:val="005A7345"/>
    <w:rsid w:val="005E4847"/>
    <w:rsid w:val="00616AFC"/>
    <w:rsid w:val="00632D05"/>
    <w:rsid w:val="00645BCA"/>
    <w:rsid w:val="00663471"/>
    <w:rsid w:val="00665449"/>
    <w:rsid w:val="00680E13"/>
    <w:rsid w:val="00681692"/>
    <w:rsid w:val="006A79A2"/>
    <w:rsid w:val="006C5FE4"/>
    <w:rsid w:val="006D67D5"/>
    <w:rsid w:val="00715F62"/>
    <w:rsid w:val="00722F8C"/>
    <w:rsid w:val="007375C0"/>
    <w:rsid w:val="0075693E"/>
    <w:rsid w:val="00773D24"/>
    <w:rsid w:val="007B16E8"/>
    <w:rsid w:val="0081297A"/>
    <w:rsid w:val="008A0AD0"/>
    <w:rsid w:val="008E3AE2"/>
    <w:rsid w:val="008E7097"/>
    <w:rsid w:val="009264D3"/>
    <w:rsid w:val="009525D4"/>
    <w:rsid w:val="009C3BE6"/>
    <w:rsid w:val="009D180B"/>
    <w:rsid w:val="00A24E60"/>
    <w:rsid w:val="00A523EB"/>
    <w:rsid w:val="00AB4318"/>
    <w:rsid w:val="00B13F7C"/>
    <w:rsid w:val="00B26653"/>
    <w:rsid w:val="00B3762A"/>
    <w:rsid w:val="00B74B62"/>
    <w:rsid w:val="00BF3E7C"/>
    <w:rsid w:val="00C55BD2"/>
    <w:rsid w:val="00C60E3E"/>
    <w:rsid w:val="00D269A4"/>
    <w:rsid w:val="00D340FE"/>
    <w:rsid w:val="00D34BB8"/>
    <w:rsid w:val="00D45B5C"/>
    <w:rsid w:val="00D846F6"/>
    <w:rsid w:val="00DA417A"/>
    <w:rsid w:val="00DD0587"/>
    <w:rsid w:val="00DE3B28"/>
    <w:rsid w:val="00DF66B2"/>
    <w:rsid w:val="00E06891"/>
    <w:rsid w:val="00E277F7"/>
    <w:rsid w:val="00E6509B"/>
    <w:rsid w:val="00E72C45"/>
    <w:rsid w:val="00E77F4B"/>
    <w:rsid w:val="00EC5215"/>
    <w:rsid w:val="00F03054"/>
    <w:rsid w:val="00F04BD9"/>
    <w:rsid w:val="00F107BD"/>
    <w:rsid w:val="00F677DC"/>
    <w:rsid w:val="00F76B5A"/>
    <w:rsid w:val="00FA2EEE"/>
    <w:rsid w:val="00FA4488"/>
    <w:rsid w:val="00FA523B"/>
    <w:rsid w:val="00FF15B7"/>
    <w:rsid w:val="00FF5EA8"/>
    <w:rsid w:val="00FF713C"/>
    <w:rsid w:val="0105744C"/>
    <w:rsid w:val="01CC0B3C"/>
    <w:rsid w:val="01FD0821"/>
    <w:rsid w:val="02497D3B"/>
    <w:rsid w:val="02C0246B"/>
    <w:rsid w:val="02E4048D"/>
    <w:rsid w:val="03016A54"/>
    <w:rsid w:val="030F0D28"/>
    <w:rsid w:val="034515C6"/>
    <w:rsid w:val="034709DB"/>
    <w:rsid w:val="03946B14"/>
    <w:rsid w:val="03BC469A"/>
    <w:rsid w:val="040471E7"/>
    <w:rsid w:val="04C218DA"/>
    <w:rsid w:val="04D92B52"/>
    <w:rsid w:val="04E60B24"/>
    <w:rsid w:val="057400BD"/>
    <w:rsid w:val="05D6207F"/>
    <w:rsid w:val="0602405A"/>
    <w:rsid w:val="06215A5A"/>
    <w:rsid w:val="064517B7"/>
    <w:rsid w:val="06620385"/>
    <w:rsid w:val="066C66D9"/>
    <w:rsid w:val="070C46A1"/>
    <w:rsid w:val="07C20DF0"/>
    <w:rsid w:val="07DA3171"/>
    <w:rsid w:val="07FA71D0"/>
    <w:rsid w:val="084C28AC"/>
    <w:rsid w:val="08BB060B"/>
    <w:rsid w:val="08CA6A53"/>
    <w:rsid w:val="090E0B40"/>
    <w:rsid w:val="09721F8E"/>
    <w:rsid w:val="09794EA0"/>
    <w:rsid w:val="097F10AA"/>
    <w:rsid w:val="0A515F41"/>
    <w:rsid w:val="0AB84C18"/>
    <w:rsid w:val="0B3969B7"/>
    <w:rsid w:val="0B4F5C9B"/>
    <w:rsid w:val="0B7C6309"/>
    <w:rsid w:val="0B7F79DF"/>
    <w:rsid w:val="0BB5223E"/>
    <w:rsid w:val="0C087B18"/>
    <w:rsid w:val="0C514209"/>
    <w:rsid w:val="0D567F63"/>
    <w:rsid w:val="0D8E5CB9"/>
    <w:rsid w:val="0DA60C6C"/>
    <w:rsid w:val="0DAE2097"/>
    <w:rsid w:val="0DB41E27"/>
    <w:rsid w:val="0DD402AF"/>
    <w:rsid w:val="0E527048"/>
    <w:rsid w:val="0F590AB0"/>
    <w:rsid w:val="0F836F88"/>
    <w:rsid w:val="0FBE02CD"/>
    <w:rsid w:val="10551F31"/>
    <w:rsid w:val="10991285"/>
    <w:rsid w:val="10DF2485"/>
    <w:rsid w:val="112256B6"/>
    <w:rsid w:val="11A13D65"/>
    <w:rsid w:val="11BC22C2"/>
    <w:rsid w:val="120D412E"/>
    <w:rsid w:val="121A55F7"/>
    <w:rsid w:val="12B51A23"/>
    <w:rsid w:val="14303AF7"/>
    <w:rsid w:val="145B324A"/>
    <w:rsid w:val="148876BD"/>
    <w:rsid w:val="14B90D04"/>
    <w:rsid w:val="14DE64E6"/>
    <w:rsid w:val="151D50C0"/>
    <w:rsid w:val="15357CDE"/>
    <w:rsid w:val="153972ED"/>
    <w:rsid w:val="154274B8"/>
    <w:rsid w:val="15984741"/>
    <w:rsid w:val="15B0657F"/>
    <w:rsid w:val="15C229E7"/>
    <w:rsid w:val="15CD49F7"/>
    <w:rsid w:val="16662E40"/>
    <w:rsid w:val="16695B95"/>
    <w:rsid w:val="17357F55"/>
    <w:rsid w:val="17B21491"/>
    <w:rsid w:val="17FB0A2A"/>
    <w:rsid w:val="18322A41"/>
    <w:rsid w:val="189D7712"/>
    <w:rsid w:val="18BA7D5A"/>
    <w:rsid w:val="18CD1801"/>
    <w:rsid w:val="19651B39"/>
    <w:rsid w:val="1A596203"/>
    <w:rsid w:val="1B4A0A55"/>
    <w:rsid w:val="1B7B540D"/>
    <w:rsid w:val="1BA86C22"/>
    <w:rsid w:val="1BC65E20"/>
    <w:rsid w:val="1BED57C8"/>
    <w:rsid w:val="1C086016"/>
    <w:rsid w:val="1C1710A3"/>
    <w:rsid w:val="1D4164A9"/>
    <w:rsid w:val="1D444093"/>
    <w:rsid w:val="1E7574B0"/>
    <w:rsid w:val="1FA75A7B"/>
    <w:rsid w:val="1FEB57AA"/>
    <w:rsid w:val="1FFC646D"/>
    <w:rsid w:val="21690B34"/>
    <w:rsid w:val="21A03E2A"/>
    <w:rsid w:val="22C32F8E"/>
    <w:rsid w:val="232726A1"/>
    <w:rsid w:val="235938AE"/>
    <w:rsid w:val="23E92278"/>
    <w:rsid w:val="249D521F"/>
    <w:rsid w:val="24B61353"/>
    <w:rsid w:val="24DA2E85"/>
    <w:rsid w:val="25627E4E"/>
    <w:rsid w:val="25B272E5"/>
    <w:rsid w:val="264066E3"/>
    <w:rsid w:val="26680339"/>
    <w:rsid w:val="26BC5523"/>
    <w:rsid w:val="270A5318"/>
    <w:rsid w:val="27B51AA1"/>
    <w:rsid w:val="27DF1C1D"/>
    <w:rsid w:val="285E2200"/>
    <w:rsid w:val="2894762E"/>
    <w:rsid w:val="28D05EF1"/>
    <w:rsid w:val="28D07A41"/>
    <w:rsid w:val="2A627780"/>
    <w:rsid w:val="2A954489"/>
    <w:rsid w:val="2AF39624"/>
    <w:rsid w:val="2B455C5C"/>
    <w:rsid w:val="2C304EA4"/>
    <w:rsid w:val="2C4774A8"/>
    <w:rsid w:val="2CA03731"/>
    <w:rsid w:val="2CBC65A6"/>
    <w:rsid w:val="2CD75C1F"/>
    <w:rsid w:val="2CEE7B52"/>
    <w:rsid w:val="2CF023AE"/>
    <w:rsid w:val="2DEF516D"/>
    <w:rsid w:val="2E2C26DF"/>
    <w:rsid w:val="2EDC7F21"/>
    <w:rsid w:val="2F046604"/>
    <w:rsid w:val="2F421715"/>
    <w:rsid w:val="2F653E16"/>
    <w:rsid w:val="2F7F53FF"/>
    <w:rsid w:val="2FC4426D"/>
    <w:rsid w:val="2FD707F3"/>
    <w:rsid w:val="2FD847B2"/>
    <w:rsid w:val="2FE96D72"/>
    <w:rsid w:val="302B77BB"/>
    <w:rsid w:val="3057226F"/>
    <w:rsid w:val="3064454F"/>
    <w:rsid w:val="30A44140"/>
    <w:rsid w:val="32C50F23"/>
    <w:rsid w:val="32E87EB2"/>
    <w:rsid w:val="33052EC4"/>
    <w:rsid w:val="331A42E4"/>
    <w:rsid w:val="337E10A4"/>
    <w:rsid w:val="33C749C4"/>
    <w:rsid w:val="34605751"/>
    <w:rsid w:val="34CF26B1"/>
    <w:rsid w:val="34FD0B37"/>
    <w:rsid w:val="351F5764"/>
    <w:rsid w:val="352255CB"/>
    <w:rsid w:val="35604C52"/>
    <w:rsid w:val="35EA2894"/>
    <w:rsid w:val="35F322E3"/>
    <w:rsid w:val="363772DA"/>
    <w:rsid w:val="366334B4"/>
    <w:rsid w:val="36723C5D"/>
    <w:rsid w:val="36FF258B"/>
    <w:rsid w:val="374E6589"/>
    <w:rsid w:val="3757747A"/>
    <w:rsid w:val="37702E93"/>
    <w:rsid w:val="379355F4"/>
    <w:rsid w:val="37972EC4"/>
    <w:rsid w:val="38223456"/>
    <w:rsid w:val="3870639A"/>
    <w:rsid w:val="38B9172D"/>
    <w:rsid w:val="3920459A"/>
    <w:rsid w:val="396433EC"/>
    <w:rsid w:val="39FE32B3"/>
    <w:rsid w:val="3A595237"/>
    <w:rsid w:val="3A6D4E67"/>
    <w:rsid w:val="3A70460C"/>
    <w:rsid w:val="3AC543C8"/>
    <w:rsid w:val="3ACF52ED"/>
    <w:rsid w:val="3ADF1BCA"/>
    <w:rsid w:val="3AFB444F"/>
    <w:rsid w:val="3B042579"/>
    <w:rsid w:val="3B6405FB"/>
    <w:rsid w:val="3BAD372D"/>
    <w:rsid w:val="3BCB62E9"/>
    <w:rsid w:val="3C05533C"/>
    <w:rsid w:val="3C0E0CC4"/>
    <w:rsid w:val="3C3E7C13"/>
    <w:rsid w:val="3CC84C79"/>
    <w:rsid w:val="3CC92B0D"/>
    <w:rsid w:val="3CEB2A01"/>
    <w:rsid w:val="3D103320"/>
    <w:rsid w:val="3DC42E2E"/>
    <w:rsid w:val="3EDA3D79"/>
    <w:rsid w:val="3EDE2E0A"/>
    <w:rsid w:val="3F051F7E"/>
    <w:rsid w:val="3F351734"/>
    <w:rsid w:val="3F595FFD"/>
    <w:rsid w:val="3F5B0520"/>
    <w:rsid w:val="3FA318F5"/>
    <w:rsid w:val="3FD63957"/>
    <w:rsid w:val="403C23B1"/>
    <w:rsid w:val="40741FCD"/>
    <w:rsid w:val="407A6149"/>
    <w:rsid w:val="40ED4580"/>
    <w:rsid w:val="412E5836"/>
    <w:rsid w:val="41C23E6E"/>
    <w:rsid w:val="41F94A37"/>
    <w:rsid w:val="42067604"/>
    <w:rsid w:val="425313DA"/>
    <w:rsid w:val="43747EF5"/>
    <w:rsid w:val="43DF33A1"/>
    <w:rsid w:val="43EB1E15"/>
    <w:rsid w:val="4424666E"/>
    <w:rsid w:val="443055C1"/>
    <w:rsid w:val="44F90108"/>
    <w:rsid w:val="4506518F"/>
    <w:rsid w:val="451F4145"/>
    <w:rsid w:val="453214F3"/>
    <w:rsid w:val="45337E42"/>
    <w:rsid w:val="4546270B"/>
    <w:rsid w:val="45551317"/>
    <w:rsid w:val="456C3F63"/>
    <w:rsid w:val="46395CA9"/>
    <w:rsid w:val="466A1160"/>
    <w:rsid w:val="46B5178E"/>
    <w:rsid w:val="46D86D00"/>
    <w:rsid w:val="46ED2407"/>
    <w:rsid w:val="47121612"/>
    <w:rsid w:val="472674C8"/>
    <w:rsid w:val="473A3F6A"/>
    <w:rsid w:val="474C3E84"/>
    <w:rsid w:val="4757351A"/>
    <w:rsid w:val="47CC25EA"/>
    <w:rsid w:val="4856329F"/>
    <w:rsid w:val="48563A90"/>
    <w:rsid w:val="489C469C"/>
    <w:rsid w:val="489D420B"/>
    <w:rsid w:val="497D5F18"/>
    <w:rsid w:val="49A74CBA"/>
    <w:rsid w:val="4A183332"/>
    <w:rsid w:val="4A195222"/>
    <w:rsid w:val="4A7F20AF"/>
    <w:rsid w:val="4ABC5DAA"/>
    <w:rsid w:val="4B365A74"/>
    <w:rsid w:val="4B465D0E"/>
    <w:rsid w:val="4B563B0A"/>
    <w:rsid w:val="4B692B5B"/>
    <w:rsid w:val="4B7F61E9"/>
    <w:rsid w:val="4BA24842"/>
    <w:rsid w:val="4BCB71B9"/>
    <w:rsid w:val="4BDE2A76"/>
    <w:rsid w:val="4C471C18"/>
    <w:rsid w:val="4C524F47"/>
    <w:rsid w:val="4C6D3572"/>
    <w:rsid w:val="4D0E78CD"/>
    <w:rsid w:val="4D1C6CA2"/>
    <w:rsid w:val="4D3F38DF"/>
    <w:rsid w:val="4D425818"/>
    <w:rsid w:val="4D427676"/>
    <w:rsid w:val="4D9D7348"/>
    <w:rsid w:val="4D9E37C9"/>
    <w:rsid w:val="4E067F0D"/>
    <w:rsid w:val="4E423F1A"/>
    <w:rsid w:val="4EEE03EC"/>
    <w:rsid w:val="4F155E3B"/>
    <w:rsid w:val="4F820602"/>
    <w:rsid w:val="4F970B0F"/>
    <w:rsid w:val="4FB84885"/>
    <w:rsid w:val="503E186B"/>
    <w:rsid w:val="50EB26C9"/>
    <w:rsid w:val="51053C40"/>
    <w:rsid w:val="52061A76"/>
    <w:rsid w:val="520E344A"/>
    <w:rsid w:val="52754EA7"/>
    <w:rsid w:val="52CE7D69"/>
    <w:rsid w:val="52D860FA"/>
    <w:rsid w:val="534B2BB6"/>
    <w:rsid w:val="5370640E"/>
    <w:rsid w:val="538F2371"/>
    <w:rsid w:val="539D142C"/>
    <w:rsid w:val="53EF6B4E"/>
    <w:rsid w:val="54031431"/>
    <w:rsid w:val="54265D9C"/>
    <w:rsid w:val="54E40375"/>
    <w:rsid w:val="55830ACF"/>
    <w:rsid w:val="559F1645"/>
    <w:rsid w:val="55B442A9"/>
    <w:rsid w:val="56006927"/>
    <w:rsid w:val="567877A6"/>
    <w:rsid w:val="568B0461"/>
    <w:rsid w:val="56A2124E"/>
    <w:rsid w:val="56C57D1B"/>
    <w:rsid w:val="571C15A7"/>
    <w:rsid w:val="5846521D"/>
    <w:rsid w:val="586E1F24"/>
    <w:rsid w:val="58CC32EB"/>
    <w:rsid w:val="58DD656A"/>
    <w:rsid w:val="59502516"/>
    <w:rsid w:val="59645F8B"/>
    <w:rsid w:val="59CC7CF3"/>
    <w:rsid w:val="59E54F88"/>
    <w:rsid w:val="59F92994"/>
    <w:rsid w:val="5A5E4C52"/>
    <w:rsid w:val="5A864198"/>
    <w:rsid w:val="5A9D5B87"/>
    <w:rsid w:val="5AF76993"/>
    <w:rsid w:val="5B830860"/>
    <w:rsid w:val="5BA92BA2"/>
    <w:rsid w:val="5BE34AF1"/>
    <w:rsid w:val="5BE96762"/>
    <w:rsid w:val="5C302878"/>
    <w:rsid w:val="5C705E54"/>
    <w:rsid w:val="5C9C6A1A"/>
    <w:rsid w:val="5CA26B0D"/>
    <w:rsid w:val="5CFA40D7"/>
    <w:rsid w:val="5D6800CD"/>
    <w:rsid w:val="5DDD545B"/>
    <w:rsid w:val="5E952FA3"/>
    <w:rsid w:val="5EA948BD"/>
    <w:rsid w:val="5EF77A78"/>
    <w:rsid w:val="5F244EA9"/>
    <w:rsid w:val="5F70341F"/>
    <w:rsid w:val="5F7E7F3D"/>
    <w:rsid w:val="5FAE5456"/>
    <w:rsid w:val="5FB32A6C"/>
    <w:rsid w:val="5FD355EF"/>
    <w:rsid w:val="60AF2F05"/>
    <w:rsid w:val="60DC5176"/>
    <w:rsid w:val="60FA1EC8"/>
    <w:rsid w:val="60FD2E3F"/>
    <w:rsid w:val="61451322"/>
    <w:rsid w:val="61E33F3F"/>
    <w:rsid w:val="623F0BA1"/>
    <w:rsid w:val="629A1288"/>
    <w:rsid w:val="63CC1BC7"/>
    <w:rsid w:val="63D73018"/>
    <w:rsid w:val="64473246"/>
    <w:rsid w:val="646923A3"/>
    <w:rsid w:val="66916461"/>
    <w:rsid w:val="669735C7"/>
    <w:rsid w:val="669F51B0"/>
    <w:rsid w:val="66A22E19"/>
    <w:rsid w:val="66A65F76"/>
    <w:rsid w:val="66EA18E2"/>
    <w:rsid w:val="674333C1"/>
    <w:rsid w:val="676C2C91"/>
    <w:rsid w:val="67B84853"/>
    <w:rsid w:val="68007F98"/>
    <w:rsid w:val="693C6624"/>
    <w:rsid w:val="69F12068"/>
    <w:rsid w:val="6A4F5883"/>
    <w:rsid w:val="6A947E1A"/>
    <w:rsid w:val="6ACB47E6"/>
    <w:rsid w:val="6B0E6E0D"/>
    <w:rsid w:val="6B23118B"/>
    <w:rsid w:val="6B5C07C8"/>
    <w:rsid w:val="6BA92DD3"/>
    <w:rsid w:val="6C60637E"/>
    <w:rsid w:val="6C6649DC"/>
    <w:rsid w:val="6C6B2C4D"/>
    <w:rsid w:val="6C6E3055"/>
    <w:rsid w:val="6C8C11C8"/>
    <w:rsid w:val="6CB9031A"/>
    <w:rsid w:val="6CD91386"/>
    <w:rsid w:val="6D791179"/>
    <w:rsid w:val="6E273271"/>
    <w:rsid w:val="6E542E55"/>
    <w:rsid w:val="6E586C17"/>
    <w:rsid w:val="6E781558"/>
    <w:rsid w:val="6EEC2C67"/>
    <w:rsid w:val="6EF44D6A"/>
    <w:rsid w:val="6F015DAB"/>
    <w:rsid w:val="6FBF3137"/>
    <w:rsid w:val="70A56826"/>
    <w:rsid w:val="70CE474C"/>
    <w:rsid w:val="7101453C"/>
    <w:rsid w:val="711E06A4"/>
    <w:rsid w:val="71581A09"/>
    <w:rsid w:val="718203C8"/>
    <w:rsid w:val="71ED47E9"/>
    <w:rsid w:val="72717A55"/>
    <w:rsid w:val="72A11251"/>
    <w:rsid w:val="72B53C3D"/>
    <w:rsid w:val="72D1172F"/>
    <w:rsid w:val="72E92B71"/>
    <w:rsid w:val="7327139A"/>
    <w:rsid w:val="73295840"/>
    <w:rsid w:val="7369246B"/>
    <w:rsid w:val="73D635AB"/>
    <w:rsid w:val="74671DBE"/>
    <w:rsid w:val="74FD4E9D"/>
    <w:rsid w:val="75B2544E"/>
    <w:rsid w:val="75F12EB1"/>
    <w:rsid w:val="76005923"/>
    <w:rsid w:val="762F1CF6"/>
    <w:rsid w:val="7719765F"/>
    <w:rsid w:val="773472CB"/>
    <w:rsid w:val="77657723"/>
    <w:rsid w:val="784E0FE0"/>
    <w:rsid w:val="78B74F24"/>
    <w:rsid w:val="78E617E6"/>
    <w:rsid w:val="78F82042"/>
    <w:rsid w:val="791B78F2"/>
    <w:rsid w:val="791E57DA"/>
    <w:rsid w:val="794E5888"/>
    <w:rsid w:val="79621F0B"/>
    <w:rsid w:val="798532BA"/>
    <w:rsid w:val="79A86C14"/>
    <w:rsid w:val="79FB522F"/>
    <w:rsid w:val="7A353AAA"/>
    <w:rsid w:val="7A990D85"/>
    <w:rsid w:val="7B2E4327"/>
    <w:rsid w:val="7B87255A"/>
    <w:rsid w:val="7BC60E53"/>
    <w:rsid w:val="7C2E1CCB"/>
    <w:rsid w:val="7C4775DF"/>
    <w:rsid w:val="7C6344A6"/>
    <w:rsid w:val="7C644564"/>
    <w:rsid w:val="7C734763"/>
    <w:rsid w:val="7CFF146E"/>
    <w:rsid w:val="7D120891"/>
    <w:rsid w:val="7D4152B7"/>
    <w:rsid w:val="7D933791"/>
    <w:rsid w:val="7D941212"/>
    <w:rsid w:val="7F0C0DFF"/>
    <w:rsid w:val="7F364276"/>
    <w:rsid w:val="7FDA509A"/>
    <w:rsid w:val="7FF97746"/>
    <w:rsid w:val="BC671213"/>
    <w:rsid w:val="D1BC05A8"/>
    <w:rsid w:val="F7F6E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annotation reference"/>
    <w:basedOn w:val="8"/>
    <w:unhideWhenUsed/>
    <w:qFormat/>
    <w:uiPriority w:val="99"/>
    <w:rPr>
      <w:sz w:val="21"/>
      <w:szCs w:val="21"/>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character" w:customStyle="1" w:styleId="14">
    <w:name w:val="批注文字 Char"/>
    <w:basedOn w:val="8"/>
    <w:link w:val="3"/>
    <w:semiHidden/>
    <w:qFormat/>
    <w:uiPriority w:val="99"/>
  </w:style>
  <w:style w:type="character" w:customStyle="1" w:styleId="15">
    <w:name w:val="批注主题 Char"/>
    <w:basedOn w:val="14"/>
    <w:link w:val="2"/>
    <w:semiHidden/>
    <w:qFormat/>
    <w:uiPriority w:val="99"/>
    <w:rPr>
      <w:b/>
      <w:bCs/>
    </w:rPr>
  </w:style>
  <w:style w:type="character" w:customStyle="1" w:styleId="16">
    <w:name w:val="批注框文本 Char"/>
    <w:basedOn w:val="8"/>
    <w:link w:val="4"/>
    <w:semiHidden/>
    <w:qFormat/>
    <w:uiPriority w:val="99"/>
    <w:rPr>
      <w:sz w:val="18"/>
      <w:szCs w:val="18"/>
    </w:rPr>
  </w:style>
  <w:style w:type="paragraph" w:customStyle="1" w:styleId="17">
    <w:name w:val="列出段落1"/>
    <w:basedOn w:val="1"/>
    <w:qFormat/>
    <w:uiPriority w:val="34"/>
    <w:pPr>
      <w:ind w:firstLine="420" w:firstLineChars="200"/>
    </w:pPr>
  </w:style>
  <w:style w:type="paragraph" w:customStyle="1" w:styleId="18">
    <w:name w:val="p0"/>
    <w:basedOn w:val="1"/>
    <w:qFormat/>
    <w:uiPriority w:val="0"/>
    <w:pPr>
      <w:widowControl/>
    </w:pPr>
    <w:rPr>
      <w:rFonts w:ascii="Calibri" w:hAnsi="Calibri" w:cs="宋体"/>
      <w:kern w:val="0"/>
      <w:szCs w:val="21"/>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3BA3F-7C98-433F-89E5-8B9517C6E69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1229</Words>
  <Characters>7010</Characters>
  <Lines>58</Lines>
  <Paragraphs>16</Paragraphs>
  <TotalTime>12</TotalTime>
  <ScaleCrop>false</ScaleCrop>
  <LinksUpToDate>false</LinksUpToDate>
  <CharactersWithSpaces>8223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2022-12-29T07:45:00Z</dcterms:created>
  <dc:creator>yangyaru</dc:creator>
  <cp:lastModifiedBy>gcb</cp:lastModifiedBy>
  <cp:lastPrinted>2020-10-27T11:16:00Z</cp:lastPrinted>
  <dcterms:modified xsi:type="dcterms:W3CDTF">2025-09-30T09:51:24Z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4752803338924449BA2E1371BBB256FA</vt:lpwstr>
  </property>
</Properties>
</file>