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仿宋_GB2312" w:eastAsia="仿宋_GB2312" w:cs="仿宋_GB2312"/>
          <w:b/>
          <w:bCs/>
          <w:sz w:val="44"/>
          <w:szCs w:val="44"/>
        </w:rPr>
      </w:pPr>
      <w:bookmarkStart w:id="0" w:name="_GoBack"/>
      <w:bookmarkEnd w:id="0"/>
      <w:r>
        <w:rPr>
          <w:rFonts w:hint="eastAsia" w:ascii="仿宋_GB2312" w:hAnsi="仿宋_GB2312" w:eastAsia="仿宋_GB2312" w:cs="仿宋_GB2312"/>
          <w:b/>
          <w:bCs/>
          <w:sz w:val="44"/>
          <w:szCs w:val="44"/>
        </w:rPr>
        <w:t>个人征信业务和信用信息查询授权书-担保人</w:t>
      </w:r>
    </w:p>
    <w:p>
      <w:pPr>
        <w:spacing w:line="600" w:lineRule="exact"/>
        <w:rPr>
          <w:rFonts w:ascii="仿宋_GB2312" w:hAnsi="仿宋_GB2312" w:eastAsia="仿宋_GB2312" w:cs="仿宋_GB2312"/>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重要提示：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为了维护您的合法权益，请在签署本授权书前，仔细阅读本授权书各条款（特别是黑体字条款），关注您在授权书中的权利和义务。如有任何疑问，请向经办行咨询。</w:t>
      </w:r>
    </w:p>
    <w:p>
      <w:pPr>
        <w:rPr>
          <w:rFonts w:ascii="仿宋_GB2312" w:hAnsi="仿宋_GB2312" w:eastAsia="仿宋_GB2312" w:cs="仿宋_GB2312"/>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广州银行股份有限公司：</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本人同意授权</w:t>
      </w:r>
      <w:r>
        <w:rPr>
          <w:rFonts w:ascii="仿宋_GB2312" w:hAnsi="仿宋_GB2312" w:eastAsia="仿宋_GB2312" w:cs="仿宋_GB2312"/>
          <w:b/>
          <w:bCs/>
          <w:sz w:val="32"/>
          <w:szCs w:val="32"/>
        </w:rPr>
        <w:t>贵</w:t>
      </w:r>
      <w:r>
        <w:rPr>
          <w:rFonts w:hint="eastAsia" w:ascii="仿宋_GB2312" w:hAnsi="仿宋_GB2312" w:eastAsia="仿宋_GB2312" w:cs="仿宋_GB2312"/>
          <w:b/>
          <w:bCs/>
          <w:sz w:val="32"/>
          <w:szCs w:val="32"/>
        </w:rPr>
        <w:t>行（包括贵行各分支机构）根据国家有关规定，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hint="eastAsia" w:ascii="仿宋_GB2312" w:hAnsi="仿宋_GB2312" w:eastAsia="仿宋_GB2312" w:cs="仿宋_GB2312"/>
          <w:b/>
          <w:bCs/>
          <w:sz w:val="32"/>
          <w:szCs w:val="32"/>
          <w:lang w:val="en-US" w:eastAsia="zh-CN"/>
        </w:rPr>
        <w:t>采集、</w:t>
      </w:r>
      <w:r>
        <w:rPr>
          <w:rFonts w:hint="eastAsia" w:ascii="仿宋_GB2312" w:hAnsi="仿宋_GB2312" w:eastAsia="仿宋_GB2312" w:cs="仿宋_GB2312"/>
          <w:b/>
          <w:bCs/>
          <w:sz w:val="32"/>
          <w:szCs w:val="32"/>
        </w:rPr>
        <w:t>查询、传递、使用、核验、留存本人的个人信息，包括身份信息、职业信息、</w:t>
      </w:r>
      <w:r>
        <w:rPr>
          <w:rFonts w:hint="eastAsia" w:ascii="仿宋_GB2312" w:hAnsi="仿宋_GB2312" w:eastAsia="仿宋_GB2312" w:cs="仿宋_GB2312"/>
          <w:b/>
          <w:bCs/>
          <w:sz w:val="32"/>
          <w:szCs w:val="32"/>
          <w:lang w:val="en-US" w:eastAsia="zh-CN"/>
        </w:rPr>
        <w:t>人脸</w:t>
      </w:r>
      <w:r>
        <w:rPr>
          <w:rFonts w:hint="eastAsia" w:ascii="仿宋_GB2312" w:hAnsi="仿宋_GB2312" w:eastAsia="仿宋_GB2312" w:cs="仿宋_GB2312"/>
          <w:b/>
          <w:bCs/>
          <w:sz w:val="32"/>
          <w:szCs w:val="32"/>
        </w:rPr>
        <w:t>信息、资产类信息、设备信息、教育信息、金融交易信息、公积金及社保信息、税务信息、工商信息、涉诉信息、车辆信息、常驻位置信息、个人电信信息、互联网借贷信息、物流信息、第三方评分及其他能够评估和反映本人信用和风险状况的信息，本人同意前述单位将所查得的个人信息提供给贵行。因网络或其他第三方原因，造成征信查询失败时，贵行可再次发起查询。</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本人同意并授权广州银行依据法律法规规定或监管要求，向中国人民银行金融信用信息基础数据库或其他合法设立的征信机构（百行征信有限公司、朴道征信有限公司等）</w:t>
      </w:r>
      <w:r>
        <w:rPr>
          <w:rFonts w:hint="eastAsia" w:ascii="仿宋_GB2312" w:hAnsi="仿宋_GB2312" w:eastAsia="仿宋_GB2312" w:cs="仿宋_GB2312"/>
          <w:b/>
          <w:bCs/>
          <w:sz w:val="32"/>
          <w:szCs w:val="32"/>
          <w:lang w:val="en-US" w:eastAsia="zh-CN"/>
        </w:rPr>
        <w:t>报送</w:t>
      </w:r>
      <w:r>
        <w:rPr>
          <w:rFonts w:hint="eastAsia" w:ascii="仿宋_GB2312" w:hAnsi="仿宋_GB2312" w:eastAsia="仿宋_GB2312" w:cs="仿宋_GB2312"/>
          <w:b/>
          <w:bCs/>
          <w:sz w:val="32"/>
          <w:szCs w:val="32"/>
        </w:rPr>
        <w:t>本人个人信息（包括但不限于身份信息、联系方式、账户信息、职业和居住地址等）、个人信贷交易信息（包括但不限于本人持有广州银行核发的信用卡授信额度、透支余额等）以及其他相关信息；向中国人民银行金融信用信息基础数据库或其他合法设立的征信机构（百行征信有限公司、朴道征信有限公司等）、银行业协会等机构报送本人未按照约定履行本合约义务的不良信息等违约失信信息，并同意银行业协会可以通过合法合规、符合行业普遍做法的方式将本人的违约失信信息在银行业金融机构之间共享。</w:t>
      </w:r>
    </w:p>
    <w:p>
      <w:pPr>
        <w:widowControl/>
        <w:numPr>
          <w:ilvl w:val="255"/>
          <w:numId w:val="0"/>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本人同意并授权</w:t>
      </w:r>
      <w:r>
        <w:rPr>
          <w:rFonts w:ascii="仿宋_GB2312" w:hAnsi="仿宋_GB2312" w:eastAsia="仿宋_GB2312" w:cs="仿宋_GB2312"/>
          <w:b/>
          <w:bCs/>
          <w:sz w:val="32"/>
          <w:szCs w:val="32"/>
        </w:rPr>
        <w:t>贵</w:t>
      </w:r>
      <w:r>
        <w:rPr>
          <w:rFonts w:hint="eastAsia" w:ascii="仿宋_GB2312" w:hAnsi="仿宋_GB2312" w:eastAsia="仿宋_GB2312" w:cs="仿宋_GB2312"/>
          <w:b/>
          <w:bCs/>
          <w:sz w:val="32"/>
          <w:szCs w:val="32"/>
        </w:rPr>
        <w:t>行（包括贵行各分支机构）根据司法机关、金融监管机关或其它行政机关要求处理上述资料，或依照法定程序，将上述资料提供给银行卡组织、金融行业公会、社会征信机构或其它金融机构；在法律规定的范围内，本人同意并授权</w:t>
      </w:r>
      <w:r>
        <w:rPr>
          <w:rFonts w:ascii="仿宋_GB2312" w:hAnsi="仿宋_GB2312" w:eastAsia="仿宋_GB2312" w:cs="仿宋_GB2312"/>
          <w:b/>
          <w:bCs/>
          <w:sz w:val="32"/>
          <w:szCs w:val="32"/>
        </w:rPr>
        <w:t>贵</w:t>
      </w:r>
      <w:r>
        <w:rPr>
          <w:rFonts w:hint="eastAsia" w:ascii="仿宋_GB2312" w:hAnsi="仿宋_GB2312" w:eastAsia="仿宋_GB2312" w:cs="仿宋_GB2312"/>
          <w:b/>
          <w:bCs/>
          <w:sz w:val="32"/>
          <w:szCs w:val="32"/>
        </w:rPr>
        <w:t>行（包括贵行各分支机构）将上述资料用于</w:t>
      </w:r>
      <w:r>
        <w:rPr>
          <w:rFonts w:ascii="仿宋_GB2312" w:hAnsi="仿宋_GB2312" w:eastAsia="仿宋_GB2312" w:cs="仿宋_GB2312"/>
          <w:b/>
          <w:bCs/>
          <w:sz w:val="32"/>
          <w:szCs w:val="32"/>
        </w:rPr>
        <w:t>贵</w:t>
      </w:r>
      <w:r>
        <w:rPr>
          <w:rFonts w:hint="eastAsia" w:ascii="仿宋_GB2312" w:hAnsi="仿宋_GB2312" w:eastAsia="仿宋_GB2312" w:cs="仿宋_GB2312"/>
          <w:b/>
          <w:bCs/>
          <w:sz w:val="32"/>
          <w:szCs w:val="32"/>
        </w:rPr>
        <w:t>行（包括贵行各分支机构）自行或委托第三方进行案件调查，债务追索等情况。如发生上述不良信息等报送情形且依法需通知本人的，</w:t>
      </w:r>
      <w:r>
        <w:rPr>
          <w:rFonts w:ascii="仿宋_GB2312" w:hAnsi="仿宋_GB2312" w:eastAsia="仿宋_GB2312" w:cs="仿宋_GB2312"/>
          <w:b/>
          <w:bCs/>
          <w:sz w:val="32"/>
          <w:szCs w:val="32"/>
        </w:rPr>
        <w:t>贵</w:t>
      </w:r>
      <w:r>
        <w:rPr>
          <w:rFonts w:hint="eastAsia" w:ascii="仿宋_GB2312" w:hAnsi="仿宋_GB2312" w:eastAsia="仿宋_GB2312" w:cs="仿宋_GB2312"/>
          <w:b/>
          <w:bCs/>
          <w:sz w:val="32"/>
          <w:szCs w:val="32"/>
        </w:rPr>
        <w:t>行（包括贵行各分支机构）可以电话、短信、电子邮件、对账单、催收单等方式通知本人，本人联系方式以其提交并存留在</w:t>
      </w:r>
      <w:r>
        <w:rPr>
          <w:rFonts w:ascii="仿宋_GB2312" w:hAnsi="仿宋_GB2312" w:eastAsia="仿宋_GB2312" w:cs="仿宋_GB2312"/>
          <w:b/>
          <w:bCs/>
          <w:sz w:val="32"/>
          <w:szCs w:val="32"/>
        </w:rPr>
        <w:t>贵</w:t>
      </w:r>
      <w:r>
        <w:rPr>
          <w:rFonts w:hint="eastAsia" w:ascii="仿宋_GB2312" w:hAnsi="仿宋_GB2312" w:eastAsia="仿宋_GB2312" w:cs="仿宋_GB2312"/>
          <w:b/>
          <w:bCs/>
          <w:sz w:val="32"/>
          <w:szCs w:val="32"/>
        </w:rPr>
        <w:t>行（包括贵行各分支机构）的联络信息为准。本人同意上述授权表明</w:t>
      </w:r>
      <w:r>
        <w:rPr>
          <w:rFonts w:ascii="仿宋_GB2312" w:hAnsi="仿宋_GB2312" w:eastAsia="仿宋_GB2312" w:cs="仿宋_GB2312"/>
          <w:b/>
          <w:bCs/>
          <w:sz w:val="32"/>
          <w:szCs w:val="32"/>
        </w:rPr>
        <w:t>贵</w:t>
      </w:r>
      <w:r>
        <w:rPr>
          <w:rFonts w:hint="eastAsia" w:ascii="仿宋_GB2312" w:hAnsi="仿宋_GB2312" w:eastAsia="仿宋_GB2312" w:cs="仿宋_GB2312"/>
          <w:b/>
          <w:bCs/>
          <w:sz w:val="32"/>
          <w:szCs w:val="32"/>
        </w:rPr>
        <w:t>行（包括贵行各分支机构）向第三方提供、查询本人相关信息时，可以依据本授权向征信机构提供、查询本人相关信息，而无需再逐一向本人另行获取授权。</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并授权合法设立的征信机构（百行征信有限公司、朴道征信有限公司等）基于本协议履约及征信业务管理之目的有权向广州银行和合法留存本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本人信息的第三方机构等）查询、传递、使用、核验、留存、整理、加工本人的基本信息、借贷信息、其他相关信息，包括但不限于本人的身份、地址、交通、通信、债务、财产、支付、消费、生产经营、履行法定义务等信息，以及基于前述信息对个人信用状况形成的分析、评价类信息、可能对本人产生负面影响的不良信息，并将采集的信息或信息处理结果提供给广州银行使用。上述信息的保存期限为法律法规要求的最短时间，其中个人不良信息的保存期限为自不良行为或事件终止之日起5年。</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及其附属卡申请人授权</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基于履行本合约及提供服务的目的（包括但不限于身份核验、联名卡持卡人信息交互、活动服务及通知、权益及礼品配送等），采集</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及附属卡申请人提供的个人信息并自行传递、使用、核验、留存或提供给包括但不限于广州银行关联公司、与</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签订保密协议的第三方合作机构（如卡组织、信用卡联名合作方、外包作业机构、增值服务及礼品供应商等</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的合作服务机构），</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或相关合作机构在必要范围内使用</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附属卡申请人的个人信息，包括身份信息、职业信息、人脸信息、资产类信息、设备信息、教育信息、金融交易信息、公积金及社保信息、税务信息、工商信息、涉诉信息、车辆信息、常驻位置信息、个人电信信息、互联网借贷信息、物流信息、第三方评分及其他能够评估和反映</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信用和风险状况的信息。</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承诺将向相关合作机构明确其保护</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及附属卡申请人个人信息的职责，并要求相关合作机构承担相应保密义务</w:t>
      </w:r>
      <w:r>
        <w:rPr>
          <w:rFonts w:hint="eastAsia" w:ascii="仿宋_GB2312" w:hAnsi="仿宋_GB2312" w:eastAsia="仿宋_GB2312" w:cs="仿宋_GB2312"/>
          <w:b/>
          <w:bCs/>
          <w:sz w:val="32"/>
          <w:szCs w:val="32"/>
          <w:lang w:eastAsia="zh-CN"/>
        </w:rPr>
        <w:t>。</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授权贵行（包括贵行各分支机构）可将上述查询获得的信息用于提供担保相关的资质审查、担保办理、贷后管理（如预警、催收、诉讼/仲裁）、贷后服务、资产转让、综合评分等相关银行业务所必需的合法用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、如贵行（包括贵行各分支机构）超出本授权范围查询和使用上述信息，则贵行（包括贵行各分支机构）应承担与此相关的法律责任。</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、若申请的相关业务未获批准办理，本人同意由贵行（包括贵行各分支机构）留存本人的授权书、信用报告及查询记录等资料，无须退还。</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、本人保证提供的所有信息和资料真实、准确、有效、完整。</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、本授权书有效期自签署之日起至本人约定用途的授信到期或业务结束之日止。</w:t>
      </w:r>
    </w:p>
    <w:p>
      <w:pPr>
        <w:rPr>
          <w:rFonts w:ascii="仿宋_GB2312" w:hAnsi="仿宋_GB2312" w:eastAsia="仿宋_GB2312" w:cs="仿宋_GB2312"/>
          <w:sz w:val="32"/>
          <w:szCs w:val="32"/>
        </w:rPr>
      </w:pP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授权人声明：贵行已依法向本人提示了相关条款（特别是黑体字条款），应本人要求对相关条款的概念、内容及法律效果做了说明，本人已经知悉并理解上述条款。</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授权人：XXX</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42CEA"/>
    <w:multiLevelType w:val="singleLevel"/>
    <w:tmpl w:val="5FF42CEA"/>
    <w:lvl w:ilvl="0" w:tentative="0">
      <w:start w:val="1"/>
      <w:numFmt w:val="chineseCounting"/>
      <w:suff w:val="nothing"/>
      <w:lvlText w:val="%1、"/>
      <w:lvlJc w:val="left"/>
      <w:pPr>
        <w:ind w:left="-1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70"/>
    <w:rsid w:val="0002096B"/>
    <w:rsid w:val="001E6318"/>
    <w:rsid w:val="00567170"/>
    <w:rsid w:val="02C60886"/>
    <w:rsid w:val="060C72E2"/>
    <w:rsid w:val="068734A4"/>
    <w:rsid w:val="073756DE"/>
    <w:rsid w:val="075E5A69"/>
    <w:rsid w:val="08DD6AB6"/>
    <w:rsid w:val="0A216E32"/>
    <w:rsid w:val="0A6B470A"/>
    <w:rsid w:val="0AFF5957"/>
    <w:rsid w:val="0F9622EE"/>
    <w:rsid w:val="1113130F"/>
    <w:rsid w:val="11A727B3"/>
    <w:rsid w:val="127C164C"/>
    <w:rsid w:val="13722E22"/>
    <w:rsid w:val="14AB6978"/>
    <w:rsid w:val="14C41C81"/>
    <w:rsid w:val="18BF1280"/>
    <w:rsid w:val="1B8C3EA6"/>
    <w:rsid w:val="1D082DE2"/>
    <w:rsid w:val="1E7A4110"/>
    <w:rsid w:val="1F185A48"/>
    <w:rsid w:val="20EB1FF1"/>
    <w:rsid w:val="211F2BD2"/>
    <w:rsid w:val="21254659"/>
    <w:rsid w:val="224E6C54"/>
    <w:rsid w:val="22631E94"/>
    <w:rsid w:val="255E59A9"/>
    <w:rsid w:val="27792E1A"/>
    <w:rsid w:val="2ADB131A"/>
    <w:rsid w:val="2D2103EE"/>
    <w:rsid w:val="30272C8D"/>
    <w:rsid w:val="30C4780E"/>
    <w:rsid w:val="32012A5D"/>
    <w:rsid w:val="34C11C7B"/>
    <w:rsid w:val="35FA4D1B"/>
    <w:rsid w:val="37E3766E"/>
    <w:rsid w:val="388303A3"/>
    <w:rsid w:val="393873DF"/>
    <w:rsid w:val="3A4A281A"/>
    <w:rsid w:val="3CCB244B"/>
    <w:rsid w:val="3D12591E"/>
    <w:rsid w:val="3FC578AB"/>
    <w:rsid w:val="43606C1A"/>
    <w:rsid w:val="451F0274"/>
    <w:rsid w:val="4A0A3A49"/>
    <w:rsid w:val="4B8A2579"/>
    <w:rsid w:val="4EED33E8"/>
    <w:rsid w:val="5031011E"/>
    <w:rsid w:val="549B37DD"/>
    <w:rsid w:val="588F7E08"/>
    <w:rsid w:val="589B7C55"/>
    <w:rsid w:val="5AED0345"/>
    <w:rsid w:val="5BE93CBD"/>
    <w:rsid w:val="5CDC4C66"/>
    <w:rsid w:val="60CD1933"/>
    <w:rsid w:val="611B522B"/>
    <w:rsid w:val="61981990"/>
    <w:rsid w:val="625441CD"/>
    <w:rsid w:val="64102560"/>
    <w:rsid w:val="6834222E"/>
    <w:rsid w:val="68BA4E6C"/>
    <w:rsid w:val="6C17428B"/>
    <w:rsid w:val="6ED17777"/>
    <w:rsid w:val="71EF3DD8"/>
    <w:rsid w:val="75F87FA0"/>
    <w:rsid w:val="76A81395"/>
    <w:rsid w:val="77756B2D"/>
    <w:rsid w:val="779F1FF1"/>
    <w:rsid w:val="77CB13EC"/>
    <w:rsid w:val="7DCE79F0"/>
    <w:rsid w:val="7DE41429"/>
    <w:rsid w:val="7E103768"/>
    <w:rsid w:val="7FE5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7"/>
    <w:qFormat/>
    <w:uiPriority w:val="0"/>
    <w:rPr>
      <w:sz w:val="18"/>
      <w:szCs w:val="18"/>
    </w:rPr>
  </w:style>
  <w:style w:type="character" w:styleId="5">
    <w:name w:val="annotation reference"/>
    <w:basedOn w:val="4"/>
    <w:qFormat/>
    <w:uiPriority w:val="0"/>
    <w:rPr>
      <w:sz w:val="21"/>
      <w:szCs w:val="21"/>
    </w:rPr>
  </w:style>
  <w:style w:type="character" w:customStyle="1" w:styleId="7">
    <w:name w:val="批注框文本 字符"/>
    <w:basedOn w:val="4"/>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310</Words>
  <Characters>1772</Characters>
  <Lines>14</Lines>
  <Paragraphs>4</Paragraphs>
  <TotalTime>9</TotalTime>
  <ScaleCrop>false</ScaleCrop>
  <LinksUpToDate>false</LinksUpToDate>
  <CharactersWithSpaces>2078</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06094</dc:creator>
  <cp:lastModifiedBy>gcb</cp:lastModifiedBy>
  <dcterms:modified xsi:type="dcterms:W3CDTF">2025-04-30T10:19:27Z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62053B794AE143FEBF2EA710BA07E2AB</vt:lpwstr>
  </property>
</Properties>
</file>