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Theme="majorEastAsia" w:hAnsiTheme="majorEastAsia" w:eastAsiaTheme="majorEastAsia" w:cstheme="majorEastAsia"/>
          <w:b/>
          <w:bCs/>
          <w:sz w:val="24"/>
          <w:szCs w:val="24"/>
        </w:rPr>
      </w:pPr>
      <w:bookmarkStart w:id="0" w:name="_GoBack"/>
      <w:bookmarkEnd w:id="0"/>
      <w:r>
        <w:rPr>
          <w:rFonts w:hint="eastAsia" w:asciiTheme="majorEastAsia" w:hAnsiTheme="majorEastAsia" w:eastAsiaTheme="majorEastAsia" w:cstheme="majorEastAsia"/>
          <w:b/>
          <w:bCs/>
          <w:sz w:val="24"/>
          <w:szCs w:val="24"/>
        </w:rPr>
        <w:t>广州银行</w:t>
      </w:r>
      <w:r>
        <w:rPr>
          <w:rFonts w:hint="eastAsia" w:asciiTheme="majorEastAsia" w:hAnsiTheme="majorEastAsia" w:eastAsiaTheme="majorEastAsia" w:cstheme="majorEastAsia"/>
          <w:b/>
          <w:bCs/>
          <w:sz w:val="24"/>
          <w:szCs w:val="24"/>
          <w:lang w:eastAsia="zh-CN"/>
        </w:rPr>
        <w:t>广赢卡</w:t>
      </w:r>
      <w:r>
        <w:rPr>
          <w:rFonts w:hint="eastAsia" w:asciiTheme="majorEastAsia" w:hAnsiTheme="majorEastAsia" w:eastAsiaTheme="majorEastAsia" w:cstheme="majorEastAsia"/>
          <w:b/>
          <w:bCs/>
          <w:sz w:val="24"/>
          <w:szCs w:val="24"/>
        </w:rPr>
        <w:t>账单分期付款业务细则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本业务细则仅适用于广赢白金信用卡（以下简称“广赢卡”），不适用于我行其他信用卡。本业务细则中如有与《</w:t>
      </w:r>
      <w:r>
        <w:rPr>
          <w:rFonts w:hint="eastAsia" w:asciiTheme="minorEastAsia" w:hAnsiTheme="minorEastAsia" w:eastAsiaTheme="minorEastAsia" w:cstheme="minorEastAsia"/>
          <w:b/>
          <w:bCs/>
          <w:sz w:val="21"/>
          <w:szCs w:val="21"/>
        </w:rPr>
        <w:t>广州银行</w:t>
      </w:r>
      <w:r>
        <w:rPr>
          <w:rFonts w:hint="eastAsia" w:asciiTheme="minorEastAsia" w:hAnsiTheme="minorEastAsia" w:eastAsiaTheme="minorEastAsia" w:cstheme="minorEastAsia"/>
          <w:b/>
          <w:bCs/>
          <w:sz w:val="21"/>
          <w:szCs w:val="21"/>
          <w:lang w:eastAsia="zh-CN"/>
        </w:rPr>
        <w:t>信用卡账单</w:t>
      </w:r>
      <w:r>
        <w:rPr>
          <w:rFonts w:hint="eastAsia" w:asciiTheme="minorEastAsia" w:hAnsiTheme="minorEastAsia" w:eastAsiaTheme="minorEastAsia" w:cstheme="minorEastAsia"/>
          <w:b/>
          <w:bCs/>
          <w:sz w:val="21"/>
          <w:szCs w:val="21"/>
        </w:rPr>
        <w:t>分期付款业务细则</w:t>
      </w:r>
      <w:r>
        <w:rPr>
          <w:rFonts w:hint="eastAsia" w:asciiTheme="minorEastAsia" w:hAnsiTheme="minorEastAsia" w:eastAsiaTheme="minorEastAsia" w:cstheme="minorEastAsia"/>
          <w:b/>
          <w:bCs/>
          <w:sz w:val="21"/>
          <w:szCs w:val="21"/>
          <w:lang w:eastAsia="zh-CN"/>
        </w:rPr>
        <w:t>》等业务资料中不一致的，以本业务细则为准。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若广州银行</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持卡人（以下简称“持卡人”或“乙方”）申请广州银行（以下简称“我行”或“甲方”）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账单分期业务，即表示其已阅读并同意遵守本细则的约定内容，并且对相应的法律后果已全部知晓并充分理解。</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一、个人信息授权及保密</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（一）乙方保证其应按甲方规定的内容和方式，准确、完整、合法、真实地提交</w:t>
      </w:r>
      <w:r>
        <w:rPr>
          <w:rFonts w:hint="eastAsia" w:asciiTheme="minorEastAsia" w:hAnsiTheme="minorEastAsia" w:eastAsiaTheme="minorEastAsia" w:cstheme="minorEastAsia"/>
          <w:sz w:val="21"/>
          <w:szCs w:val="21"/>
          <w:lang w:eastAsia="zh-CN"/>
        </w:rPr>
        <w:t>广赢卡分期</w:t>
      </w:r>
      <w:r>
        <w:rPr>
          <w:rFonts w:hint="eastAsia" w:asciiTheme="minorEastAsia" w:hAnsiTheme="minorEastAsia" w:eastAsiaTheme="minorEastAsia" w:cstheme="minorEastAsia"/>
          <w:sz w:val="21"/>
          <w:szCs w:val="21"/>
        </w:rPr>
        <w:t>申请信息和证明资料（下称申请资料）。</w:t>
      </w:r>
      <w:r>
        <w:rPr>
          <w:rFonts w:hint="eastAsia" w:asciiTheme="minorEastAsia" w:hAnsiTheme="minorEastAsia" w:eastAsiaTheme="minorEastAsia" w:cstheme="minorEastAsia"/>
          <w:b/>
          <w:bCs/>
          <w:sz w:val="21"/>
          <w:szCs w:val="21"/>
        </w:rPr>
        <w:t>甲方有权根据乙方的申请资料、资信状况和洗钱风险评级情况等信息决定是否向乙方提供分期付款业务，并核定卡片等级、分期信用额度和担保条件等，并</w:t>
      </w:r>
      <w:r>
        <w:rPr>
          <w:rFonts w:hint="eastAsia" w:asciiTheme="minorEastAsia" w:hAnsiTheme="minorEastAsia" w:eastAsiaTheme="minorEastAsia" w:cstheme="minorEastAsia"/>
          <w:b/>
          <w:sz w:val="21"/>
          <w:szCs w:val="21"/>
        </w:rPr>
        <w:t>决定是否同意乙方的业务办理申请，必要时可要求乙方提供合适的担保。</w:t>
      </w:r>
      <w:r>
        <w:rPr>
          <w:rFonts w:hint="eastAsia" w:asciiTheme="minorEastAsia" w:hAnsiTheme="minorEastAsia" w:eastAsiaTheme="minorEastAsia" w:cstheme="minorEastAsia"/>
          <w:sz w:val="21"/>
          <w:szCs w:val="21"/>
        </w:rPr>
        <w:t>乙方不得为其分期</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申领附属卡。</w:t>
      </w:r>
      <w:r>
        <w:rPr>
          <w:rFonts w:hint="eastAsia" w:asciiTheme="minorEastAsia" w:hAnsiTheme="minorEastAsia" w:eastAsiaTheme="minorEastAsia" w:cstheme="minorEastAsia"/>
          <w:b/>
          <w:sz w:val="21"/>
          <w:szCs w:val="21"/>
        </w:rPr>
        <w:t>无论乙方申请是否成功，相关申请资料均不予退回。</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（二）乙方同意并授权甲方：</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Theme="minorEastAsia" w:hAnsiTheme="minorEastAsia" w:cstheme="minorEastAsia"/>
          <w:b/>
          <w:bCs/>
          <w:sz w:val="21"/>
          <w:szCs w:val="21"/>
          <w:lang w:val="en-US" w:eastAsia="zh-CN"/>
        </w:rPr>
        <w:t>采集、</w:t>
      </w:r>
      <w:r>
        <w:rPr>
          <w:rFonts w:hint="eastAsia" w:asciiTheme="minorEastAsia" w:hAnsiTheme="minorEastAsia" w:eastAsiaTheme="minorEastAsia" w:cstheme="minorEastAsia"/>
          <w:b/>
          <w:bCs/>
          <w:sz w:val="21"/>
          <w:szCs w:val="21"/>
        </w:rPr>
        <w:t>查询、传递、使用、核验、留存乙方的个人信息，包括身份信息、职业信息、</w:t>
      </w:r>
      <w:r>
        <w:rPr>
          <w:rFonts w:hint="eastAsia" w:asciiTheme="minorEastAsia" w:hAnsiTheme="minorEastAsia" w:cstheme="minorEastAsia"/>
          <w:b/>
          <w:bCs/>
          <w:sz w:val="21"/>
          <w:szCs w:val="21"/>
          <w:lang w:val="en-US" w:eastAsia="zh-CN"/>
        </w:rPr>
        <w:t>人脸</w:t>
      </w:r>
      <w:r>
        <w:rPr>
          <w:rFonts w:hint="eastAsia" w:asciiTheme="minorEastAsia" w:hAnsiTheme="minorEastAsia" w:eastAsiaTheme="minorEastAsia" w:cstheme="minorEastAsia"/>
          <w:b/>
          <w:bCs/>
          <w:sz w:val="21"/>
          <w:szCs w:val="21"/>
        </w:rPr>
        <w:t>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乙方同意前述单位将所查得的个人信息提供给甲方。如乙方使用电脑、手机等电子设备办理</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业务或使用</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，同意甲方留存相关设备信息。因网络或其他第三方原因，造成征信查询失败时，甲方可再次发起查询。以上信息为甲方向乙方提供</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3.依据法律法规规定或监管要求，向中国人民银行金融信用信息基础数据库或其他合法设立的征信机构（百行征信有限公司、朴道征信有限公司等）</w:t>
      </w:r>
      <w:r>
        <w:rPr>
          <w:rFonts w:hint="eastAsia" w:asciiTheme="minorEastAsia" w:hAnsiTheme="minorEastAsia" w:cstheme="minorEastAsia"/>
          <w:b/>
          <w:bCs/>
          <w:sz w:val="21"/>
          <w:szCs w:val="21"/>
          <w:lang w:val="en-US" w:eastAsia="zh-CN"/>
        </w:rPr>
        <w:t>报送</w:t>
      </w:r>
      <w:r>
        <w:rPr>
          <w:rFonts w:hint="eastAsia" w:asciiTheme="minorEastAsia" w:hAnsiTheme="minorEastAsia" w:eastAsiaTheme="minorEastAsia" w:cstheme="minorEastAsia"/>
          <w:b/>
          <w:bCs/>
          <w:sz w:val="21"/>
          <w:szCs w:val="21"/>
        </w:rPr>
        <w:t>乙方个人信息（包括但不限于身份信息、联系方式、账户信息、职业和居住地址等）、个人信贷交易信息（包括但不限于乙方持有甲方核发的</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4.乙方</w:t>
      </w:r>
      <w:r>
        <w:rPr>
          <w:rFonts w:hint="eastAsia" w:asciiTheme="minorEastAsia" w:hAnsiTheme="minorEastAsia" w:cstheme="minorEastAsia"/>
          <w:b/>
          <w:bCs/>
          <w:sz w:val="21"/>
          <w:szCs w:val="21"/>
          <w:lang w:val="en-US" w:eastAsia="zh-CN"/>
        </w:rPr>
        <w:t>授权</w:t>
      </w:r>
      <w:r>
        <w:rPr>
          <w:rFonts w:hint="eastAsia" w:asciiTheme="minorEastAsia" w:hAnsiTheme="minorEastAsia" w:eastAsiaTheme="minorEastAsia" w:cstheme="minorEastAsia"/>
          <w:b/>
          <w:bCs/>
          <w:sz w:val="21"/>
          <w:szCs w:val="21"/>
        </w:rPr>
        <w:t>甲方基于履行本合约及提供服务的目的（包括但不限于身份核验、联名卡持卡人信息交互、活动服务及通知、权益及礼品配送等），</w:t>
      </w:r>
      <w:r>
        <w:rPr>
          <w:rFonts w:hint="eastAsia" w:asciiTheme="minorEastAsia" w:hAnsiTheme="minorEastAsia" w:cstheme="minorEastAsia"/>
          <w:b/>
          <w:bCs/>
          <w:sz w:val="21"/>
          <w:szCs w:val="21"/>
          <w:lang w:val="en-US" w:eastAsia="zh-CN"/>
        </w:rPr>
        <w:t>采集</w:t>
      </w:r>
      <w:r>
        <w:rPr>
          <w:rFonts w:hint="eastAsia" w:asciiTheme="minorEastAsia" w:hAnsiTheme="minorEastAsia" w:eastAsiaTheme="minorEastAsia" w:cstheme="minorEastAsia"/>
          <w:b/>
          <w:bCs/>
          <w:sz w:val="21"/>
          <w:szCs w:val="21"/>
        </w:rPr>
        <w:t>乙方及附属卡申请人</w:t>
      </w:r>
      <w:r>
        <w:rPr>
          <w:rFonts w:hint="eastAsia" w:asciiTheme="minorEastAsia" w:hAnsiTheme="minorEastAsia" w:cstheme="minorEastAsia"/>
          <w:b/>
          <w:bCs/>
          <w:sz w:val="21"/>
          <w:szCs w:val="21"/>
          <w:lang w:val="en-US" w:eastAsia="zh-CN"/>
        </w:rPr>
        <w:t>提供</w:t>
      </w:r>
      <w:r>
        <w:rPr>
          <w:rFonts w:hint="eastAsia" w:asciiTheme="minorEastAsia" w:hAnsiTheme="minorEastAsia" w:eastAsiaTheme="minorEastAsia" w:cstheme="minorEastAsia"/>
          <w:b/>
          <w:bCs/>
          <w:sz w:val="21"/>
          <w:szCs w:val="21"/>
        </w:rPr>
        <w:t>的个人信息</w:t>
      </w:r>
      <w:r>
        <w:rPr>
          <w:rFonts w:hint="eastAsia" w:asciiTheme="minorEastAsia" w:hAnsiTheme="minorEastAsia" w:cstheme="minorEastAsia"/>
          <w:b/>
          <w:bCs/>
          <w:sz w:val="21"/>
          <w:szCs w:val="21"/>
          <w:lang w:val="en-US" w:eastAsia="zh-CN"/>
        </w:rPr>
        <w:t>并</w:t>
      </w:r>
      <w:r>
        <w:rPr>
          <w:rFonts w:hint="eastAsia" w:asciiTheme="minorEastAsia" w:hAnsiTheme="minorEastAsia" w:eastAsiaTheme="minorEastAsia" w:cstheme="minorEastAsia"/>
          <w:b/>
          <w:bCs/>
          <w:sz w:val="21"/>
          <w:szCs w:val="21"/>
        </w:rPr>
        <w:t>自行</w:t>
      </w:r>
      <w:r>
        <w:rPr>
          <w:rFonts w:hint="eastAsia" w:asciiTheme="minorEastAsia" w:hAnsiTheme="minorEastAsia" w:cstheme="minorEastAsia"/>
          <w:b/>
          <w:bCs/>
          <w:sz w:val="21"/>
          <w:szCs w:val="21"/>
          <w:lang w:val="en-US" w:eastAsia="zh-CN"/>
        </w:rPr>
        <w:t>传递、</w:t>
      </w:r>
      <w:r>
        <w:rPr>
          <w:rFonts w:hint="eastAsia" w:asciiTheme="minorEastAsia" w:hAnsiTheme="minorEastAsia" w:eastAsiaTheme="minorEastAsia" w:cstheme="minorEastAsia"/>
          <w:b/>
          <w:bCs/>
          <w:sz w:val="21"/>
          <w:szCs w:val="21"/>
        </w:rPr>
        <w:t>使用</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核验、留存</w:t>
      </w:r>
      <w:r>
        <w:rPr>
          <w:rFonts w:hint="eastAsia" w:asciiTheme="minorEastAsia" w:hAnsiTheme="minorEastAsia" w:eastAsiaTheme="minorEastAsia" w:cstheme="minorEastAsia"/>
          <w:b/>
          <w:bCs/>
          <w:sz w:val="21"/>
          <w:szCs w:val="21"/>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物流信息、第三方评分及其他能够评估和反映乙方信用和风险状况的信息。甲方承诺将向相关合作机构明确其保护乙方及附属卡申请人个人信息的职责，并要求相关合作机构承担相应保密义务；</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5.如乙方由其他广州银行信用卡持卡人推荐申请</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，则乙方同意甲方将乙方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的申请进度和推荐完成进度开放给乙方的推荐人查询。</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6.如乙方推荐第三人办理甲方</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的，乙方应确保其向甲方提供的第三人知晓并同意乙方将第三人的个人信息（包括姓名和联系电话）提供给甲方，如乙方未及时告知并取得其同意，相关法律责任和后果由乙方自行承担。</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乙方知悉、理解并同意上述授权条款。乙方提供的申请表等资料上的信息如有变更或失效的，应立即联系甲方予以变更。</w:t>
      </w:r>
    </w:p>
    <w:p>
      <w:pPr>
        <w:pStyle w:val="18"/>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sz w:val="21"/>
          <w:szCs w:val="21"/>
        </w:rPr>
        <w:t>（三）</w:t>
      </w:r>
      <w:r>
        <w:rPr>
          <w:rFonts w:hint="eastAsia" w:asciiTheme="minorEastAsia" w:hAnsiTheme="minorEastAsia" w:eastAsiaTheme="minorEastAsia" w:cstheme="minorEastAsia"/>
          <w:b/>
          <w:bCs/>
          <w:kern w:val="2"/>
          <w:sz w:val="21"/>
          <w:szCs w:val="21"/>
        </w:rPr>
        <w:t>基于追索乙方未清偿款项之目的，甲方有权通过电话、信函、手机短信、微信、电子邮件、面谈、申请冻结各类支付账户或其他司法渠道等方式自行或委托第三方联系乙方及其担保人进行款项的催收，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w:t>
      </w:r>
      <w:r>
        <w:rPr>
          <w:rFonts w:hint="default" w:asciiTheme="minorEastAsia" w:hAnsiTheme="minorEastAsia" w:cstheme="minorEastAsia"/>
          <w:b/>
          <w:bCs/>
          <w:kern w:val="2"/>
        </w:rPr>
        <w:t>乙方授权甲方将还款所需必要信息提供给有代偿意愿的联系人、近亲属、担保人或其他有代偿意愿第三方。</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2"/>
          <w:sz w:val="21"/>
          <w:szCs w:val="21"/>
        </w:rPr>
        <w:t>（四）当甲、乙双方基于调解纠纷争议目的下向第三方调解组织申请介入调解时，乙方授权甲方将必要的个人身份及欠款账户信息等个人金融信息提供给第三方调解组织。</w:t>
      </w:r>
    </w:p>
    <w:p>
      <w:pPr>
        <w:pStyle w:val="3"/>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如乙方不同意向本行及关联公司、第三方合作机构提供个人信息，可随时以书面形式通知本行。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（六）乙方同意并授权甲方根据法律法规、监管规范要求以及为实现本合约目的，在所必需的时限内保留其个人信息。</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（八）乙方对其个人信息的处理享有知情权、决定权。乙方发现其个人信息不准确或者不完整的，有权请求甲方更正、补充。法律法规有规定的，从其规定。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广赢卡</w:t>
      </w:r>
      <w:r>
        <w:rPr>
          <w:rFonts w:hint="eastAsia" w:asciiTheme="minorEastAsia" w:hAnsiTheme="minorEastAsia" w:eastAsiaTheme="minorEastAsia" w:cstheme="minorEastAsia"/>
          <w:sz w:val="21"/>
          <w:szCs w:val="21"/>
        </w:rPr>
        <w:t>账单分期付款业务”（以下简称“账单分期”）是我行为符合条件的持卡人提供的，对其</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账单内符合条件的交易欠款提供的分期付款服务，包括已出账单分期及延期还款业务。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三、本业务仅限信用状况良好、正常使用</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且</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状态正常的持卡人办理。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四、持卡人可对已出账单的未还部分申请账单分期。</w:t>
      </w:r>
      <w:r>
        <w:rPr>
          <w:rFonts w:hint="eastAsia" w:asciiTheme="minorEastAsia" w:hAnsiTheme="minorEastAsia" w:eastAsiaTheme="minorEastAsia" w:cstheme="minorEastAsia"/>
          <w:sz w:val="21"/>
          <w:szCs w:val="21"/>
          <w:lang w:eastAsia="zh-CN"/>
        </w:rPr>
        <w:t>可申请账单分期的交易金额类型为当期账单中的新增消费（不包含利息、违约金、年费、工本费、挂失费、服务及调单费、短信费、分期付款以及我行规定的其他交易及费用的交易）。</w:t>
      </w:r>
      <w:r>
        <w:rPr>
          <w:rFonts w:hint="eastAsia" w:asciiTheme="minorEastAsia" w:hAnsiTheme="minorEastAsia" w:eastAsiaTheme="minorEastAsia" w:cstheme="minorEastAsia"/>
          <w:sz w:val="21"/>
          <w:szCs w:val="21"/>
        </w:rPr>
        <w:t>账单分期的最低可分期金额为人民币500元，最高不超过当期已出账单总金额的</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持卡人可通过我行24小时客服热线96699（广东）400-83-96699（全国）86-20-96699（境外）、广银信用卡APP、广州银行信用卡微信公众号及我行认可的其他渠道或发送短信申请账单分期。具体流程以各渠道的实际展示为准。持卡人在当期账单日的次日至最后还款日当天20:40前均可申请账单分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六、账单分期申请是否通过、最终分期金额、利率/年化利率和期数等信息，以我行综合评估结果为准。若账单分期申请未通过，持卡人需在最后还款日前按要求还款。</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sz w:val="21"/>
          <w:szCs w:val="21"/>
          <w:highlight w:val="lightGray"/>
        </w:rPr>
      </w:pPr>
      <w:r>
        <w:rPr>
          <w:rFonts w:hint="eastAsia" w:asciiTheme="minorEastAsia" w:hAnsiTheme="minorEastAsia" w:eastAsiaTheme="minorEastAsia" w:cstheme="minorEastAsia"/>
          <w:b/>
          <w:bCs/>
          <w:sz w:val="21"/>
          <w:szCs w:val="21"/>
        </w:rPr>
        <w:t>七、持卡人申请的账单分期一经办理，不能撤销且不能更改</w:t>
      </w:r>
      <w:r>
        <w:rPr>
          <w:rFonts w:hint="eastAsia" w:asciiTheme="minorEastAsia" w:hAnsiTheme="minorEastAsia" w:eastAsiaTheme="minorEastAsia" w:cstheme="minorEastAsia"/>
          <w:b/>
          <w:bCs/>
          <w:sz w:val="21"/>
          <w:szCs w:val="21"/>
          <w:lang w:eastAsia="zh-CN"/>
        </w:rPr>
        <w:t>还款方式、</w:t>
      </w:r>
      <w:r>
        <w:rPr>
          <w:rFonts w:hint="eastAsia" w:asciiTheme="minorEastAsia" w:hAnsiTheme="minorEastAsia" w:eastAsiaTheme="minorEastAsia" w:cstheme="minorEastAsia"/>
          <w:b/>
          <w:bCs/>
          <w:sz w:val="21"/>
          <w:szCs w:val="21"/>
        </w:rPr>
        <w:t>分期金额、年化利率和期数。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八、持卡人可申请的账单分期期数为1-</w:t>
      </w:r>
      <w:r>
        <w:rPr>
          <w:rFonts w:hint="eastAsia" w:asciiTheme="minorEastAsia" w:hAnsiTheme="minorEastAsia" w:eastAsiaTheme="minorEastAsia" w:cstheme="minorEastAsia"/>
          <w:b/>
          <w:bCs/>
          <w:sz w:val="21"/>
          <w:szCs w:val="21"/>
          <w:lang w:val="en-US" w:eastAsia="zh-CN"/>
        </w:rPr>
        <w:t>36</w:t>
      </w:r>
      <w:r>
        <w:rPr>
          <w:rFonts w:hint="eastAsia" w:asciiTheme="minorEastAsia" w:hAnsiTheme="minorEastAsia" w:eastAsiaTheme="minorEastAsia" w:cstheme="minorEastAsia"/>
          <w:b/>
          <w:bCs/>
          <w:sz w:val="21"/>
          <w:szCs w:val="21"/>
        </w:rPr>
        <w:t>期不等，每期利率为0-1.8%，该利率折算为对应的年化利率为0-24%。以上年化利率是根据持卡人现金流计算的年化内含报酬率，会因持卡人选择办理的分期期数、每期利率、提前还款等不同情况而有差异。</w:t>
      </w:r>
      <w:r>
        <w:rPr>
          <w:rFonts w:hint="eastAsia" w:asciiTheme="minorEastAsia" w:hAnsiTheme="minorEastAsia" w:eastAsiaTheme="minorEastAsia" w:cstheme="minorEastAsia"/>
          <w:sz w:val="21"/>
          <w:szCs w:val="21"/>
        </w:rPr>
        <w:t>持卡人可通过我行客服热线96699（广东）400-83-96699（全国）86-20-96699（境外）、广银信用卡APP、广州银行信用卡微信公众号及我行认可的其他渠道查询实际利率/年化利率。</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持卡人可选择按</w:t>
      </w:r>
      <w:r>
        <w:rPr>
          <w:rFonts w:hint="eastAsia" w:asciiTheme="minorEastAsia" w:hAnsiTheme="minorEastAsia" w:eastAsiaTheme="minorEastAsia" w:cstheme="minorEastAsia"/>
          <w:sz w:val="21"/>
          <w:szCs w:val="21"/>
          <w:highlight w:val="none"/>
        </w:rPr>
        <w:t>以下</w:t>
      </w:r>
      <w:r>
        <w:rPr>
          <w:rFonts w:hint="eastAsia" w:asciiTheme="minorEastAsia" w:hAnsiTheme="minorEastAsia" w:eastAsiaTheme="minorEastAsia" w:cstheme="minorEastAsia"/>
          <w:sz w:val="21"/>
          <w:szCs w:val="21"/>
          <w:highlight w:val="none"/>
          <w:lang w:eastAsia="zh-CN"/>
        </w:rPr>
        <w:t>四</w:t>
      </w:r>
      <w:r>
        <w:rPr>
          <w:rFonts w:hint="eastAsia" w:asciiTheme="minorEastAsia" w:hAnsiTheme="minorEastAsia" w:eastAsiaTheme="minorEastAsia" w:cstheme="minorEastAsia"/>
          <w:sz w:val="21"/>
          <w:szCs w:val="21"/>
          <w:highlight w:val="none"/>
        </w:rPr>
        <w:t>种分摊方式来</w:t>
      </w:r>
      <w:r>
        <w:rPr>
          <w:rFonts w:hint="eastAsia" w:asciiTheme="minorEastAsia" w:hAnsiTheme="minorEastAsia" w:eastAsiaTheme="minorEastAsia" w:cstheme="minorEastAsia"/>
          <w:sz w:val="21"/>
          <w:szCs w:val="21"/>
        </w:rPr>
        <w:t>分期偿还本金及利息（具体可选择的还款方式以客户申请时系统或申请页面显示为准）。分摊方式一经选择且经我行审核通过，则不能更改。账单分期每期应还本金和利息将在持卡人办理账单分期的</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上扣收，计算方式如下：</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每期支付利息及按期摊销本金（等本等息）。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每期应还本金=总本金÷分期期数；每期应还利息=总本金×每期利率。</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每期支付同等金额的本金，但每期应还款额中，利息逐月递减（等额本金）。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应还款额=（总本金÷分期期数）+（总本金-累计已还本金）×月利率；每期应还本金=总本金÷分期期数；每期应还利息=（总本金-累计已还本金）×月利率；其中，月利率=年化利率÷12。通过以上分摊方式计算得出的每期应还款额（含本金和利息）精确到分位（四舍五入）。</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每期支付利息，最后一期偿还本金（先息后本）。</w:t>
      </w:r>
    </w:p>
    <w:p>
      <w:pPr>
        <w:keepNext w:val="0"/>
        <w:keepLines w:val="0"/>
        <w:pageBreakBefore w:val="0"/>
        <w:numPr>
          <w:ilvl w:val="-1"/>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每期利息=总本金×月利率；最后一期应偿还本金=总本金。</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（四）</w:t>
      </w:r>
      <w:r>
        <w:rPr>
          <w:rFonts w:hint="eastAsia" w:asciiTheme="minorEastAsia" w:hAnsiTheme="minorEastAsia" w:eastAsiaTheme="minorEastAsia" w:cstheme="minorEastAsia"/>
          <w:b w:val="0"/>
          <w:bCs w:val="0"/>
          <w:color w:val="auto"/>
          <w:kern w:val="0"/>
          <w:sz w:val="21"/>
          <w:szCs w:val="21"/>
        </w:rPr>
        <w:t>每期支付同等数额的本金与利息和，但每期应还款额中本金逐月递增，利息逐月递减（等额本息）。</w:t>
      </w:r>
    </w:p>
    <w:p>
      <w:pPr>
        <w:keepNext w:val="0"/>
        <w:keepLines w:val="0"/>
        <w:pageBreakBefore w:val="0"/>
        <w:numPr>
          <w:ilvl w:val="255"/>
          <w:numId w:val="0"/>
        </w:numPr>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每期应还款额=[本金×月利率×（1+月利率）</w:t>
      </w:r>
      <w:r>
        <w:rPr>
          <w:rFonts w:hint="eastAsia" w:asciiTheme="minorEastAsia" w:hAnsiTheme="minorEastAsia" w:eastAsiaTheme="minorEastAsia" w:cstheme="minorEastAsia"/>
          <w:color w:val="auto"/>
          <w:kern w:val="0"/>
          <w:sz w:val="21"/>
          <w:szCs w:val="21"/>
          <w:vertAlign w:val="superscript"/>
        </w:rPr>
        <w:t>还款期数</w:t>
      </w:r>
      <w:r>
        <w:rPr>
          <w:rFonts w:hint="eastAsia" w:asciiTheme="minorEastAsia" w:hAnsiTheme="minorEastAsia" w:eastAsiaTheme="minorEastAsia" w:cstheme="minorEastAsia"/>
          <w:color w:val="auto"/>
          <w:kern w:val="0"/>
          <w:sz w:val="21"/>
          <w:szCs w:val="21"/>
        </w:rPr>
        <w:t>]÷[(1+月利率）</w:t>
      </w:r>
      <w:r>
        <w:rPr>
          <w:rFonts w:hint="eastAsia" w:asciiTheme="minorEastAsia" w:hAnsiTheme="minorEastAsia" w:eastAsiaTheme="minorEastAsia" w:cstheme="minorEastAsia"/>
          <w:color w:val="auto"/>
          <w:kern w:val="0"/>
          <w:sz w:val="21"/>
          <w:szCs w:val="21"/>
          <w:vertAlign w:val="superscript"/>
        </w:rPr>
        <w:t>还款期数</w:t>
      </w:r>
      <w:r>
        <w:rPr>
          <w:rFonts w:hint="eastAsia" w:asciiTheme="minorEastAsia" w:hAnsiTheme="minorEastAsia" w:eastAsiaTheme="minorEastAsia" w:cstheme="minorEastAsia"/>
          <w:color w:val="auto"/>
          <w:kern w:val="0"/>
          <w:sz w:val="21"/>
          <w:szCs w:val="21"/>
        </w:rPr>
        <w:t>-1]；每期利息=上期末剩余本金×月利率；每期本金=每期应还款额-每期利息。其中，月利率=年化利率÷12。</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通过以上分摊方式计算得出的每期应还款额（含本金和利息）精确到分位（四舍五入）。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每期应还本金自分期申请成功后的第一个账单日期逐月计入每期账单。每期应还分期利息随入账本金计入</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账单，一经收取，不予退还。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十、账单分期的每月应还本金及利息将全额计入账单分期办理成功后还款期内的每期</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十一、持卡人的还款将按如下顺序冲还应还款项：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正常或逾期90天（含）以内状态账户：同一期的欠款，还款顺序为：利息、费用（费用冲减顺序：取现手续费、违约金、年费、工本费、挂失费、服务及调单费、短信费、其他手续费）、预借现金、分期付款、消费本金。往期有欠款时，先还往期，再还本期。</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（二）逾期90天以上状态账户：逾期90天以上本金、逾期 90 天以上费用（费用冲减顺序：取现手续费、违约金、年费、工本费、挂失费、服务及调单费、短信费、其他手续费）、逾期 90 天以上利息、逾期90天以上复利、逾期 90 天以下复利、逾期90天以下利息、费用（费用冲减顺序：取现手续费、违约金、年费、工本费、挂失费、服务及调单费、短信费、其他手续费）、预借现金、分期付款、消费本金。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在此逻辑下，如同一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账户项下同时存在账单分期/消费分期等其他分期的，按照账单分期/消费分期等其他分期入账的先后顺序冲还；如同一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账户项下同时存在多笔账单分期的，按照各笔账单分期入账的先后顺序冲还。</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二、持卡人确认在申请、使用账单分期过程中，本细则内容、各渠道上显示的内容、我行发送到持卡人手机的信息（短信或电话等）等均是持卡人使用账单分期的相关规则，持卡人申请账单分期即表示持卡人同意接受账单分期的所有规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highlight w:val="lightGray"/>
        </w:rPr>
      </w:pPr>
      <w:r>
        <w:rPr>
          <w:rFonts w:hint="eastAsia" w:asciiTheme="minorEastAsia" w:hAnsiTheme="minorEastAsia" w:eastAsiaTheme="minorEastAsia" w:cstheme="minorEastAsia"/>
          <w:sz w:val="21"/>
          <w:szCs w:val="21"/>
        </w:rPr>
        <w:t>十三、持卡人承诺在使用账单分期时，实施的所有行为均未违反法律、法规和社会公共利益或公共道德。持卡人利用账单分期从事违法活动或不正当交易等产生的一切后果与责任，由持卡人独立承担。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十四、持卡人应知晓我行非网络服务商，并理解在账单分期提供过程中所需的合理时间。持卡人使用账单分期时，可能因系统传输延时等原因致使相关资金无法正常入账，交易结果一律以我行系统记录结果为准。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highlight w:val="lightGray"/>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五</w:t>
      </w:r>
      <w:r>
        <w:rPr>
          <w:rFonts w:hint="eastAsia" w:asciiTheme="minorEastAsia" w:hAnsiTheme="minorEastAsia" w:eastAsiaTheme="minorEastAsia" w:cstheme="minorEastAsia"/>
          <w:b/>
          <w:bCs/>
          <w:sz w:val="21"/>
          <w:szCs w:val="21"/>
        </w:rPr>
        <w:t>、持卡人按月偿还其</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账单后其</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账户仍有多余款项的，该款项将视为自有存款。我行既不会提前清偿账单分期本金或利息，亦不会计付利息。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、若要提前清偿已成功办理的账单分期剩余未偿还款项，持卡人需致电我行客服热线96699（广东）400-83-96699（全国）86-20-96699（境外）。</w:t>
      </w:r>
      <w:r>
        <w:rPr>
          <w:rFonts w:hint="eastAsia" w:asciiTheme="minorEastAsia" w:hAnsiTheme="minorEastAsia" w:eastAsiaTheme="minorEastAsia" w:cstheme="minorEastAsia"/>
          <w:b/>
          <w:bCs/>
          <w:sz w:val="21"/>
          <w:szCs w:val="21"/>
        </w:rPr>
        <w:t>提前还款申请通过后，持卡人剩余未还分期本金视为到期应付，且已入账的利息不予退还。针对已出账单分期，持卡人除须一次性支付剩余未还所有分期本金外，还须支付剩余未还分期本金的一定比例作为违约金</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广赢卡</w:t>
      </w:r>
      <w:r>
        <w:rPr>
          <w:rFonts w:hint="eastAsia" w:asciiTheme="minorEastAsia" w:hAnsiTheme="minorEastAsia" w:eastAsiaTheme="minorEastAsia" w:cstheme="minorEastAsia"/>
          <w:b/>
          <w:bCs/>
          <w:kern w:val="0"/>
          <w:sz w:val="21"/>
          <w:szCs w:val="21"/>
          <w:lang w:val="en-US" w:eastAsia="zh-CN"/>
        </w:rPr>
        <w:t>为1%</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eastAsia="zh-CN"/>
        </w:rPr>
        <w:t>，</w:t>
      </w:r>
      <w:r>
        <w:rPr>
          <w:rFonts w:hint="eastAsia" w:asciiTheme="minorEastAsia" w:hAnsiTheme="minorEastAsia" w:eastAsiaTheme="minorEastAsia" w:cstheme="minorEastAsia"/>
          <w:b/>
          <w:bCs/>
          <w:sz w:val="21"/>
          <w:szCs w:val="21"/>
        </w:rPr>
        <w:t>未入账的剩余各期未还利息不再收取，我行与持卡人另行约定的除外；针对</w:t>
      </w:r>
      <w:r>
        <w:rPr>
          <w:rFonts w:hint="eastAsia" w:asciiTheme="minorEastAsia" w:hAnsiTheme="minorEastAsia" w:eastAsiaTheme="minorEastAsia" w:cstheme="minorEastAsia"/>
          <w:b/>
          <w:sz w:val="21"/>
          <w:szCs w:val="21"/>
        </w:rPr>
        <w:t>延期还款业务，</w:t>
      </w:r>
      <w:r>
        <w:rPr>
          <w:rFonts w:hint="eastAsia" w:asciiTheme="minorEastAsia" w:hAnsiTheme="minorEastAsia" w:eastAsiaTheme="minorEastAsia" w:cstheme="minorEastAsia"/>
          <w:b/>
          <w:bCs/>
          <w:sz w:val="21"/>
          <w:szCs w:val="21"/>
        </w:rPr>
        <w:t>持卡人除须一次性支付剩余未还所有分期本金外，还须支付提还当期的利息，我行与持卡人另行约定的除外</w:t>
      </w:r>
      <w:r>
        <w:rPr>
          <w:rFonts w:hint="eastAsia" w:asciiTheme="minorEastAsia" w:hAnsiTheme="minorEastAsia" w:eastAsiaTheme="minorEastAsia" w:cstheme="minorEastAsia"/>
          <w:b/>
          <w:sz w:val="21"/>
          <w:szCs w:val="21"/>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十</w:t>
      </w:r>
      <w:r>
        <w:rPr>
          <w:rFonts w:hint="eastAsia" w:asciiTheme="minorEastAsia" w:hAnsiTheme="minorEastAsia" w:eastAsiaTheme="minorEastAsia" w:cstheme="minorEastAsia"/>
          <w:sz w:val="21"/>
          <w:szCs w:val="21"/>
          <w:lang w:eastAsia="zh-CN"/>
        </w:rPr>
        <w:t>七</w:t>
      </w:r>
      <w:r>
        <w:rPr>
          <w:rFonts w:hint="eastAsia" w:asciiTheme="minorEastAsia" w:hAnsiTheme="minorEastAsia" w:eastAsiaTheme="minorEastAsia" w:cstheme="minorEastAsia"/>
          <w:sz w:val="21"/>
          <w:szCs w:val="21"/>
        </w:rPr>
        <w:t>、若持卡人的</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已至有效期并获得</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续期，已产生的账单分期不会因此而终止，剩余未还每月应还本金及利息将自动转入</w:t>
      </w:r>
      <w:r>
        <w:rPr>
          <w:rFonts w:hint="eastAsia" w:asciiTheme="minorEastAsia" w:hAnsiTheme="minorEastAsia" w:eastAsiaTheme="minorEastAsia" w:cstheme="minorEastAsia"/>
          <w:b w:val="0"/>
          <w:bCs w:val="0"/>
          <w:sz w:val="21"/>
          <w:szCs w:val="21"/>
          <w:lang w:eastAsia="zh-CN"/>
        </w:rPr>
        <w:t>广赢卡</w:t>
      </w:r>
      <w:r>
        <w:rPr>
          <w:rFonts w:hint="eastAsia" w:asciiTheme="minorEastAsia" w:hAnsiTheme="minorEastAsia" w:eastAsiaTheme="minorEastAsia" w:cstheme="minorEastAsia"/>
          <w:sz w:val="21"/>
          <w:szCs w:val="21"/>
        </w:rPr>
        <w:t>账户中；</w:t>
      </w:r>
      <w:r>
        <w:rPr>
          <w:rFonts w:hint="eastAsia" w:asciiTheme="minorEastAsia" w:hAnsiTheme="minorEastAsia" w:eastAsiaTheme="minorEastAsia" w:cstheme="minorEastAsia"/>
          <w:b/>
          <w:bCs/>
          <w:sz w:val="21"/>
          <w:szCs w:val="21"/>
        </w:rPr>
        <w:t>若持卡人广赢卡到期不再续卡，持卡人应就未结清的账单分期进行提前还款。</w:t>
      </w:r>
      <w:r>
        <w:rPr>
          <w:rFonts w:hint="eastAsia" w:asciiTheme="minorEastAsia" w:hAnsiTheme="minorEastAsia" w:eastAsiaTheme="minorEastAsia" w:cstheme="minorEastAsia"/>
          <w:sz w:val="21"/>
          <w:szCs w:val="21"/>
        </w:rPr>
        <w:t>提前还款具体操作请参见本细则第十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条办理。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八</w:t>
      </w:r>
      <w:r>
        <w:rPr>
          <w:rFonts w:hint="eastAsia" w:asciiTheme="minorEastAsia" w:hAnsiTheme="minorEastAsia" w:eastAsiaTheme="minorEastAsia" w:cstheme="minorEastAsia"/>
          <w:b/>
          <w:bCs/>
          <w:sz w:val="21"/>
          <w:szCs w:val="21"/>
        </w:rPr>
        <w:t>、若需在账单分期还款期内注销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，持卡人应将尚未偿还的本金及利息进行提前还款才能注销</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rPr>
        <w:t>提前还款具体操作请参见本细则第十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条办理。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十九</w:t>
      </w:r>
      <w:r>
        <w:rPr>
          <w:rFonts w:hint="eastAsia" w:asciiTheme="minorEastAsia" w:hAnsiTheme="minorEastAsia" w:eastAsiaTheme="minorEastAsia" w:cstheme="minorEastAsia"/>
          <w:sz w:val="21"/>
          <w:szCs w:val="21"/>
        </w:rPr>
        <w:t>、我行仅提供金融服务，对商户不提供任何担保；因包括但不限于商品买卖、商品质量、送货、退货及售后服务或其他相关事宜发生的纠纷，持卡人应与商户协商处理。持卡人不得以消费争议或纠纷为由，拒绝偿还所欠我行账单分期本金及利息。</w:t>
      </w:r>
      <w:r>
        <w:rPr>
          <w:rFonts w:hint="eastAsia" w:asciiTheme="minorEastAsia" w:hAnsiTheme="minorEastAsia" w:eastAsiaTheme="minorEastAsia" w:cstheme="minorEastAsia"/>
          <w:b/>
          <w:bCs/>
          <w:sz w:val="21"/>
          <w:szCs w:val="21"/>
        </w:rPr>
        <w:t>持卡人对账单分期包含的消费交易进行退货处理时，已办理成功的账单分期业务不受影响，未偿还的分期本金及利息将继续正常分期入账。</w:t>
      </w:r>
      <w:r>
        <w:rPr>
          <w:rFonts w:hint="eastAsia" w:asciiTheme="minorEastAsia" w:hAnsiTheme="minorEastAsia" w:eastAsiaTheme="minorEastAsia" w:cstheme="minorEastAsia"/>
          <w:sz w:val="21"/>
          <w:szCs w:val="21"/>
        </w:rPr>
        <w:t>若需要对该笔账单分期进行提前还款，可按照本细则第十</w:t>
      </w: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sz w:val="21"/>
          <w:szCs w:val="21"/>
        </w:rPr>
        <w:t>条进行办理。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二十、我行因其认定的正当理由（包括但不限于：持卡人有任何舞弊、欺诈或非真实交易的情形；</w:t>
      </w:r>
      <w:r>
        <w:rPr>
          <w:rFonts w:hint="eastAsia" w:asciiTheme="minorEastAsia" w:hAnsiTheme="minorEastAsia" w:eastAsiaTheme="minorEastAsia" w:cstheme="minorEastAsia"/>
          <w:b/>
          <w:bCs/>
          <w:sz w:val="21"/>
          <w:szCs w:val="21"/>
          <w:lang w:eastAsia="zh-CN"/>
        </w:rPr>
        <w:t>广赢卡</w:t>
      </w:r>
      <w:r>
        <w:rPr>
          <w:rFonts w:hint="eastAsia" w:asciiTheme="minorEastAsia" w:hAnsiTheme="minorEastAsia" w:eastAsiaTheme="minorEastAsia" w:cstheme="minorEastAsia"/>
          <w:b/>
          <w:bCs/>
          <w:sz w:val="21"/>
          <w:szCs w:val="21"/>
        </w:rPr>
        <w:t>由于被取消、管制、终止、已经过期并不被续期等原因变为不正常状态；持卡人未依约还款；持卡人已经破产或身故；持卡人资信状况经我行评估存在异常；持卡人存在出卖银行卡等行为；持卡人涉嫌洗钱、</w:t>
      </w:r>
      <w:r>
        <w:rPr>
          <w:rFonts w:hint="eastAsia" w:asciiTheme="minorEastAsia" w:hAnsiTheme="minorEastAsia" w:cstheme="minorEastAsia"/>
          <w:b/>
          <w:bCs/>
          <w:sz w:val="21"/>
          <w:szCs w:val="21"/>
          <w:lang w:val="en-US" w:eastAsia="zh-CN"/>
        </w:rPr>
        <w:t>逃税、</w:t>
      </w:r>
      <w:r>
        <w:rPr>
          <w:rFonts w:hint="eastAsia" w:asciiTheme="minorEastAsia" w:hAnsiTheme="minorEastAsia" w:eastAsiaTheme="minorEastAsia" w:cstheme="minorEastAsia"/>
          <w:b/>
          <w:bCs/>
          <w:sz w:val="21"/>
          <w:szCs w:val="21"/>
        </w:rPr>
        <w:t>恐怖融资、扩散融资或涉及违反联合国</w:t>
      </w: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中国</w:t>
      </w:r>
      <w:r>
        <w:rPr>
          <w:rFonts w:hint="eastAsia" w:asciiTheme="minorEastAsia" w:hAnsiTheme="minorEastAsia" w:eastAsiaTheme="minorEastAsia" w:cstheme="minorEastAsia"/>
          <w:b/>
          <w:bCs/>
          <w:sz w:val="21"/>
          <w:szCs w:val="21"/>
        </w:rPr>
        <w:t>等</w:t>
      </w:r>
      <w:r>
        <w:rPr>
          <w:rFonts w:hint="eastAsia" w:asciiTheme="minorEastAsia" w:hAnsiTheme="minorEastAsia" w:cstheme="minorEastAsia"/>
          <w:b/>
          <w:bCs/>
          <w:sz w:val="21"/>
          <w:szCs w:val="21"/>
          <w:lang w:val="en-US" w:eastAsia="zh-CN"/>
        </w:rPr>
        <w:t>可适用的</w:t>
      </w:r>
      <w:r>
        <w:rPr>
          <w:rFonts w:hint="eastAsia" w:asciiTheme="minorEastAsia" w:hAnsiTheme="minorEastAsia" w:eastAsiaTheme="minorEastAsia" w:cstheme="minorEastAsia"/>
          <w:b/>
          <w:bCs/>
          <w:sz w:val="21"/>
          <w:szCs w:val="21"/>
        </w:rPr>
        <w:t>国际组织或者国家发布的监控名单或者制裁事项；持卡人在我行开立的账户交易异常，且我行无法评估持卡人涉税、制裁</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洗钱风险或经评估超过我行风险管理能力；持卡人涉嫌违反国际外汇管理相关规定等情形；持卡人存在非法或在未经我行授权的渠道申请</w:t>
      </w:r>
      <w:r>
        <w:rPr>
          <w:rFonts w:hint="eastAsia" w:asciiTheme="minorEastAsia" w:hAnsiTheme="minorEastAsia" w:eastAsiaTheme="minorEastAsia" w:cstheme="minorEastAsia"/>
          <w:b/>
          <w:bCs/>
          <w:sz w:val="21"/>
          <w:szCs w:val="21"/>
          <w:lang w:eastAsia="zh-CN"/>
        </w:rPr>
        <w:t>广赢</w:t>
      </w:r>
      <w:r>
        <w:rPr>
          <w:rFonts w:hint="eastAsia" w:asciiTheme="minorEastAsia" w:hAnsiTheme="minorEastAsia" w:eastAsiaTheme="minorEastAsia" w:cstheme="minorEastAsia"/>
          <w:b/>
          <w:bCs/>
          <w:sz w:val="21"/>
          <w:szCs w:val="21"/>
        </w:rPr>
        <w:t>卡等行为；持卡人存在以积分套利为主要目的的行为；持卡人违反了《广州银行信用卡章程》、《广州银行信用卡领用合约》、</w:t>
      </w:r>
      <w:r>
        <w:rPr>
          <w:rFonts w:hint="eastAsia" w:asciiTheme="minorEastAsia" w:hAnsiTheme="minorEastAsia" w:eastAsiaTheme="minorEastAsia" w:cstheme="minorEastAsia"/>
          <w:b/>
          <w:bCs/>
          <w:sz w:val="21"/>
          <w:szCs w:val="21"/>
          <w:lang w:eastAsia="zh-CN"/>
        </w:rPr>
        <w:t>《广州银行广赢白金信用卡产品细则》、</w:t>
      </w:r>
      <w:r>
        <w:rPr>
          <w:rFonts w:hint="eastAsia" w:asciiTheme="minorEastAsia" w:hAnsiTheme="minorEastAsia" w:eastAsiaTheme="minorEastAsia" w:cstheme="minorEastAsia"/>
          <w:b/>
          <w:bCs/>
          <w:sz w:val="21"/>
          <w:szCs w:val="21"/>
        </w:rPr>
        <w:t>本细则中的任何规定或我行相关规定等）确定持卡人的账户不再适合进行账单分期时，即有权拒绝持卡人该业务申请或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一</w:t>
      </w:r>
      <w:r>
        <w:rPr>
          <w:rFonts w:hint="eastAsia" w:asciiTheme="minorEastAsia" w:hAnsiTheme="minorEastAsia" w:eastAsiaTheme="minorEastAsia" w:cstheme="minorEastAsia"/>
          <w:b/>
          <w:bCs/>
          <w:sz w:val="21"/>
          <w:szCs w:val="21"/>
        </w:rPr>
        <w:t>、甲方有权通过本行网站或其他新闻媒体实行公告催收，并有权向人民法院申请将未履行判决义务的乙方纳入失信被执行人名单，由人民法院向社会公示，人民法院可根据其方式予以公布。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、持卡人确认我行对本细则中有关免除或限制我行责任、我行单方面拥有某些权利、增加持卡人责任、我行单方面拥有某些权利、增加持卡人责任或限制持卡人权利的条款，均已向持卡人本人进行了提示和说明。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二十</w:t>
      </w: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、本细则自持卡人申请账单分期之日起生效；本细则生效后，双方应全面履行本细则约定的义务，任何一方不履行或不完全履行约定义务，应承担相应的违约责任，并赔偿因此给对方造成的损失。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二十</w:t>
      </w: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我行在法律许可的范围内保留修改本细则及终止本业务的权利，并通过我行认为合适的方式将此等修改或终止本业务事宜向持卡人公告。本细则变更事项自公告中载明的生效日期开始生效，持卡人有权在公告期内选择是否同意上述变更。如不接受上述变更，持卡人应在公告中载明的生效日期前终止使用账单分期，并按照本细则第</w:t>
      </w:r>
      <w:r>
        <w:rPr>
          <w:rFonts w:hint="eastAsia" w:asciiTheme="minorEastAsia" w:hAnsiTheme="minorEastAsia" w:eastAsiaTheme="minorEastAsia" w:cstheme="minorEastAsia"/>
          <w:b/>
          <w:bCs/>
          <w:sz w:val="21"/>
          <w:szCs w:val="21"/>
          <w:lang w:eastAsia="zh-CN"/>
        </w:rPr>
        <w:t>十六</w:t>
      </w:r>
      <w:r>
        <w:rPr>
          <w:rFonts w:hint="eastAsia" w:asciiTheme="minorEastAsia" w:hAnsiTheme="minorEastAsia" w:eastAsiaTheme="minorEastAsia" w:cstheme="minorEastAsia"/>
          <w:b/>
          <w:bCs/>
          <w:sz w:val="21"/>
          <w:szCs w:val="21"/>
        </w:rPr>
        <w:t>条规定办理提前还款，提前一次性偿还全部剩余欠款（包括但不限于未还本金、利息、违约金以及其他一切相关费用等），已收取的利息不予退还。否则视为持卡人同意上述变更，变更后的内容对持卡人具有法律约束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二十五、乙方如对本合约条款有任何疑义，或需进行业务咨询和投诉，乙方可通过至甲方营业网点或拨打卡片背面信用卡客服热线等方式反馈，由双方协商共同解决或申请调解方式化解纠纷。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十六、本行客户服务电话：96699（广东）、400-83-96699（全国）、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Theme="minorEastAsia" w:hAnsiTheme="minorEastAsia" w:eastAsiaTheme="minorEastAsia" w:cstheme="minorEastAsia"/>
          <w:sz w:val="21"/>
          <w:szCs w:val="21"/>
          <w:highlight w:val="lightGray"/>
        </w:rPr>
      </w:pPr>
      <w:r>
        <w:rPr>
          <w:rFonts w:hint="eastAsia" w:asciiTheme="minorEastAsia" w:hAnsiTheme="minorEastAsia" w:eastAsiaTheme="minorEastAsia" w:cstheme="minorEastAsia"/>
          <w:sz w:val="21"/>
          <w:szCs w:val="21"/>
        </w:rPr>
        <w:t>二十</w:t>
      </w:r>
      <w:r>
        <w:rPr>
          <w:rFonts w:hint="eastAsia" w:asciiTheme="minorEastAsia" w:hAnsiTheme="minorEastAsia" w:cstheme="minorEastAsia"/>
          <w:sz w:val="21"/>
          <w:szCs w:val="21"/>
          <w:lang w:val="en-US" w:eastAsia="zh-CN"/>
        </w:rPr>
        <w:t>七</w:t>
      </w:r>
      <w:r>
        <w:rPr>
          <w:rFonts w:hint="eastAsia" w:asciiTheme="minorEastAsia" w:hAnsiTheme="minorEastAsia" w:eastAsiaTheme="minorEastAsia" w:cstheme="minorEastAsia"/>
          <w:sz w:val="21"/>
          <w:szCs w:val="21"/>
        </w:rPr>
        <w:t>、本细则未尽事宜按照《广州银行信用卡章程》、《广州银行信用卡领用合约》</w:t>
      </w:r>
      <w:r>
        <w:rPr>
          <w:rFonts w:hint="eastAsia" w:asciiTheme="minorEastAsia" w:hAnsiTheme="minorEastAsia" w:eastAsiaTheme="minorEastAsia" w:cstheme="minorEastAsia"/>
          <w:sz w:val="21"/>
          <w:szCs w:val="21"/>
          <w:lang w:eastAsia="zh-CN"/>
        </w:rPr>
        <w:t>、《广州银行广赢白金信用卡产品细则》</w:t>
      </w:r>
      <w:r>
        <w:rPr>
          <w:rFonts w:hint="eastAsia" w:asciiTheme="minorEastAsia" w:hAnsiTheme="minorEastAsia" w:eastAsiaTheme="minorEastAsia" w:cstheme="minorEastAsia"/>
          <w:sz w:val="21"/>
          <w:szCs w:val="21"/>
        </w:rPr>
        <w:t>、银行业务和卡组织相关规定及金融惯例办理。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0328F"/>
    <w:multiLevelType w:val="singleLevel"/>
    <w:tmpl w:val="A590328F"/>
    <w:lvl w:ilvl="0" w:tentative="0">
      <w:start w:val="9"/>
      <w:numFmt w:val="chineseCounting"/>
      <w:suff w:val="nothing"/>
      <w:lvlText w:val="%1、"/>
      <w:lvlJc w:val="left"/>
      <w:rPr>
        <w:rFonts w:hint="eastAsia"/>
      </w:rPr>
    </w:lvl>
  </w:abstractNum>
  <w:abstractNum w:abstractNumId="1">
    <w:nsid w:val="24458836"/>
    <w:multiLevelType w:val="singleLevel"/>
    <w:tmpl w:val="2445883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icas.creditcard.gzb/sys/attachment/sys_att_main/jg_service.jsp"/>
  </w:docVars>
  <w:rsids>
    <w:rsidRoot w:val="00722F8C"/>
    <w:rsid w:val="00055172"/>
    <w:rsid w:val="0007105C"/>
    <w:rsid w:val="00072AB7"/>
    <w:rsid w:val="0009247B"/>
    <w:rsid w:val="000B14C5"/>
    <w:rsid w:val="00146A93"/>
    <w:rsid w:val="00171E78"/>
    <w:rsid w:val="0018068F"/>
    <w:rsid w:val="001C2916"/>
    <w:rsid w:val="00206802"/>
    <w:rsid w:val="002372D2"/>
    <w:rsid w:val="00257763"/>
    <w:rsid w:val="002B3238"/>
    <w:rsid w:val="002B6AD9"/>
    <w:rsid w:val="002F38AA"/>
    <w:rsid w:val="00332E31"/>
    <w:rsid w:val="00380884"/>
    <w:rsid w:val="003A35BA"/>
    <w:rsid w:val="003B21A0"/>
    <w:rsid w:val="00406C51"/>
    <w:rsid w:val="00426238"/>
    <w:rsid w:val="00470B72"/>
    <w:rsid w:val="004E319E"/>
    <w:rsid w:val="004E5F94"/>
    <w:rsid w:val="004E79D5"/>
    <w:rsid w:val="00541CF7"/>
    <w:rsid w:val="00546A0E"/>
    <w:rsid w:val="0059096D"/>
    <w:rsid w:val="00592DF2"/>
    <w:rsid w:val="005A7345"/>
    <w:rsid w:val="005E4847"/>
    <w:rsid w:val="00616AFC"/>
    <w:rsid w:val="00632D05"/>
    <w:rsid w:val="00645BCA"/>
    <w:rsid w:val="00663471"/>
    <w:rsid w:val="00680E13"/>
    <w:rsid w:val="00681692"/>
    <w:rsid w:val="006A79A2"/>
    <w:rsid w:val="006C5FE4"/>
    <w:rsid w:val="006D55A6"/>
    <w:rsid w:val="006D67D5"/>
    <w:rsid w:val="00715F62"/>
    <w:rsid w:val="00722F8C"/>
    <w:rsid w:val="007375C0"/>
    <w:rsid w:val="0075693E"/>
    <w:rsid w:val="00773D24"/>
    <w:rsid w:val="007B16E8"/>
    <w:rsid w:val="0081297A"/>
    <w:rsid w:val="008A0AD0"/>
    <w:rsid w:val="008A3779"/>
    <w:rsid w:val="008E3AE2"/>
    <w:rsid w:val="008E7097"/>
    <w:rsid w:val="009264D3"/>
    <w:rsid w:val="009525D4"/>
    <w:rsid w:val="009C3BE6"/>
    <w:rsid w:val="009D180B"/>
    <w:rsid w:val="00A24E60"/>
    <w:rsid w:val="00A523EB"/>
    <w:rsid w:val="00AB4318"/>
    <w:rsid w:val="00B13F7C"/>
    <w:rsid w:val="00B26653"/>
    <w:rsid w:val="00B3762A"/>
    <w:rsid w:val="00B74B62"/>
    <w:rsid w:val="00BF3E7C"/>
    <w:rsid w:val="00C60E3E"/>
    <w:rsid w:val="00D269A4"/>
    <w:rsid w:val="00D340FE"/>
    <w:rsid w:val="00D34BB8"/>
    <w:rsid w:val="00D45B5C"/>
    <w:rsid w:val="00D846F6"/>
    <w:rsid w:val="00DA417A"/>
    <w:rsid w:val="00DD0587"/>
    <w:rsid w:val="00DE3B28"/>
    <w:rsid w:val="00DF66B2"/>
    <w:rsid w:val="00E06891"/>
    <w:rsid w:val="00E277F7"/>
    <w:rsid w:val="00E6509B"/>
    <w:rsid w:val="00E72C45"/>
    <w:rsid w:val="00E77F4B"/>
    <w:rsid w:val="00F03054"/>
    <w:rsid w:val="00F107BD"/>
    <w:rsid w:val="00F677DC"/>
    <w:rsid w:val="00F76B5A"/>
    <w:rsid w:val="00FA2EEE"/>
    <w:rsid w:val="00FA4488"/>
    <w:rsid w:val="00FA523B"/>
    <w:rsid w:val="00FF15B7"/>
    <w:rsid w:val="00FF5EA8"/>
    <w:rsid w:val="00FF713C"/>
    <w:rsid w:val="02C0246B"/>
    <w:rsid w:val="02E4048D"/>
    <w:rsid w:val="03184AB4"/>
    <w:rsid w:val="03393A9D"/>
    <w:rsid w:val="034709DB"/>
    <w:rsid w:val="03946B14"/>
    <w:rsid w:val="04513DAE"/>
    <w:rsid w:val="04E60B24"/>
    <w:rsid w:val="058C4826"/>
    <w:rsid w:val="05D6207F"/>
    <w:rsid w:val="0602405A"/>
    <w:rsid w:val="062B254F"/>
    <w:rsid w:val="064517B7"/>
    <w:rsid w:val="084C28AC"/>
    <w:rsid w:val="090E0B40"/>
    <w:rsid w:val="09794EA0"/>
    <w:rsid w:val="0A515F41"/>
    <w:rsid w:val="0B9576AC"/>
    <w:rsid w:val="0FBE02CD"/>
    <w:rsid w:val="10092918"/>
    <w:rsid w:val="114704FB"/>
    <w:rsid w:val="11BC22C2"/>
    <w:rsid w:val="11D95855"/>
    <w:rsid w:val="153972ED"/>
    <w:rsid w:val="16662E40"/>
    <w:rsid w:val="16BB48DC"/>
    <w:rsid w:val="16EE6D53"/>
    <w:rsid w:val="173D3A1C"/>
    <w:rsid w:val="179B529F"/>
    <w:rsid w:val="17D01563"/>
    <w:rsid w:val="17F915E3"/>
    <w:rsid w:val="18295036"/>
    <w:rsid w:val="19034B05"/>
    <w:rsid w:val="192B7586"/>
    <w:rsid w:val="1A58275F"/>
    <w:rsid w:val="1B7B540D"/>
    <w:rsid w:val="1BA86C22"/>
    <w:rsid w:val="1BB83755"/>
    <w:rsid w:val="1BED57C8"/>
    <w:rsid w:val="1E8349C7"/>
    <w:rsid w:val="215818FF"/>
    <w:rsid w:val="235938AE"/>
    <w:rsid w:val="258A43D6"/>
    <w:rsid w:val="27DF1C1D"/>
    <w:rsid w:val="280C274D"/>
    <w:rsid w:val="2894762E"/>
    <w:rsid w:val="29A04C01"/>
    <w:rsid w:val="2AF39624"/>
    <w:rsid w:val="2B7D5641"/>
    <w:rsid w:val="2CA03731"/>
    <w:rsid w:val="2CD75C1F"/>
    <w:rsid w:val="2F7F53FF"/>
    <w:rsid w:val="32E87EB2"/>
    <w:rsid w:val="33052EC4"/>
    <w:rsid w:val="34605751"/>
    <w:rsid w:val="350173A6"/>
    <w:rsid w:val="35604C52"/>
    <w:rsid w:val="36B41859"/>
    <w:rsid w:val="3757747A"/>
    <w:rsid w:val="37E302F5"/>
    <w:rsid w:val="388975E1"/>
    <w:rsid w:val="390C112A"/>
    <w:rsid w:val="3ACF52ED"/>
    <w:rsid w:val="3B4E7FF2"/>
    <w:rsid w:val="3BCB62E9"/>
    <w:rsid w:val="3C0E0CC4"/>
    <w:rsid w:val="3E45346F"/>
    <w:rsid w:val="3E570625"/>
    <w:rsid w:val="3FB8096E"/>
    <w:rsid w:val="41F94A37"/>
    <w:rsid w:val="42067604"/>
    <w:rsid w:val="42962257"/>
    <w:rsid w:val="434D5A33"/>
    <w:rsid w:val="44296681"/>
    <w:rsid w:val="443055C1"/>
    <w:rsid w:val="44EC480F"/>
    <w:rsid w:val="4546270B"/>
    <w:rsid w:val="456C3F63"/>
    <w:rsid w:val="478F5BAB"/>
    <w:rsid w:val="480E7F3F"/>
    <w:rsid w:val="4856329F"/>
    <w:rsid w:val="497D5F18"/>
    <w:rsid w:val="4A7F20AF"/>
    <w:rsid w:val="4B18187C"/>
    <w:rsid w:val="4BDE2A76"/>
    <w:rsid w:val="4CE76094"/>
    <w:rsid w:val="4FB84885"/>
    <w:rsid w:val="526E5355"/>
    <w:rsid w:val="52754EA7"/>
    <w:rsid w:val="534B6B0B"/>
    <w:rsid w:val="539D142C"/>
    <w:rsid w:val="53EF6B4E"/>
    <w:rsid w:val="545D492C"/>
    <w:rsid w:val="56A2124E"/>
    <w:rsid w:val="571C15A7"/>
    <w:rsid w:val="58CC32EB"/>
    <w:rsid w:val="5B1F459F"/>
    <w:rsid w:val="5CFA40D7"/>
    <w:rsid w:val="5D1B0504"/>
    <w:rsid w:val="5E0467E8"/>
    <w:rsid w:val="5E6B1B77"/>
    <w:rsid w:val="5F70341F"/>
    <w:rsid w:val="5F7E7F3D"/>
    <w:rsid w:val="5FB32A6C"/>
    <w:rsid w:val="60C22CD5"/>
    <w:rsid w:val="627E631C"/>
    <w:rsid w:val="65783285"/>
    <w:rsid w:val="65E534B5"/>
    <w:rsid w:val="66916461"/>
    <w:rsid w:val="674333C1"/>
    <w:rsid w:val="69131025"/>
    <w:rsid w:val="699B17EC"/>
    <w:rsid w:val="6A947E1A"/>
    <w:rsid w:val="6B06188E"/>
    <w:rsid w:val="6B1E7EDD"/>
    <w:rsid w:val="6B23118B"/>
    <w:rsid w:val="6CD91386"/>
    <w:rsid w:val="6E4C586F"/>
    <w:rsid w:val="6E6E217A"/>
    <w:rsid w:val="6F2A64A1"/>
    <w:rsid w:val="6FBF3137"/>
    <w:rsid w:val="71571430"/>
    <w:rsid w:val="71581A09"/>
    <w:rsid w:val="719B7A75"/>
    <w:rsid w:val="71ED47E9"/>
    <w:rsid w:val="72544F8D"/>
    <w:rsid w:val="72A11251"/>
    <w:rsid w:val="73421D71"/>
    <w:rsid w:val="7369246B"/>
    <w:rsid w:val="738408EE"/>
    <w:rsid w:val="73D635AB"/>
    <w:rsid w:val="744F4A89"/>
    <w:rsid w:val="75B43C16"/>
    <w:rsid w:val="7754143A"/>
    <w:rsid w:val="77E90CC7"/>
    <w:rsid w:val="784E0FE0"/>
    <w:rsid w:val="78B74F24"/>
    <w:rsid w:val="7911372F"/>
    <w:rsid w:val="794E5888"/>
    <w:rsid w:val="798532BA"/>
    <w:rsid w:val="79E646AC"/>
    <w:rsid w:val="7E9618B8"/>
    <w:rsid w:val="7F364276"/>
    <w:rsid w:val="BC671213"/>
    <w:rsid w:val="D1BC05A8"/>
    <w:rsid w:val="F7F6EA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annotation reference"/>
    <w:basedOn w:val="8"/>
    <w:unhideWhenUsed/>
    <w:qFormat/>
    <w:uiPriority w:val="99"/>
    <w:rPr>
      <w:sz w:val="21"/>
      <w:szCs w:val="21"/>
    </w:rPr>
  </w:style>
  <w:style w:type="character" w:customStyle="1" w:styleId="12">
    <w:name w:val="页眉 字符"/>
    <w:basedOn w:val="8"/>
    <w:link w:val="6"/>
    <w:semiHidden/>
    <w:qFormat/>
    <w:uiPriority w:val="99"/>
    <w:rPr>
      <w:sz w:val="18"/>
      <w:szCs w:val="18"/>
    </w:rPr>
  </w:style>
  <w:style w:type="character" w:customStyle="1" w:styleId="13">
    <w:name w:val="页脚 字符"/>
    <w:basedOn w:val="8"/>
    <w:link w:val="5"/>
    <w:semiHidden/>
    <w:qFormat/>
    <w:uiPriority w:val="99"/>
    <w:rPr>
      <w:sz w:val="18"/>
      <w:szCs w:val="18"/>
    </w:rPr>
  </w:style>
  <w:style w:type="character" w:customStyle="1" w:styleId="14">
    <w:name w:val="批注文字 字符"/>
    <w:basedOn w:val="8"/>
    <w:link w:val="3"/>
    <w:semiHidden/>
    <w:qFormat/>
    <w:uiPriority w:val="99"/>
  </w:style>
  <w:style w:type="character" w:customStyle="1" w:styleId="15">
    <w:name w:val="批注主题 字符"/>
    <w:basedOn w:val="14"/>
    <w:link w:val="2"/>
    <w:semiHidden/>
    <w:qFormat/>
    <w:uiPriority w:val="99"/>
    <w:rPr>
      <w:b/>
      <w:bCs/>
    </w:rPr>
  </w:style>
  <w:style w:type="character" w:customStyle="1" w:styleId="16">
    <w:name w:val="批注框文本 字符"/>
    <w:basedOn w:val="8"/>
    <w:link w:val="4"/>
    <w:semiHidden/>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p0"/>
    <w:basedOn w:val="1"/>
    <w:qFormat/>
    <w:uiPriority w:val="0"/>
    <w:pPr>
      <w:widowControl/>
    </w:pPr>
    <w:rPr>
      <w:rFonts w:ascii="Calibri" w:hAnsi="Calibri" w:cs="宋体"/>
      <w:kern w:val="0"/>
      <w:szCs w:val="21"/>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47C11-141C-4276-B23C-60704C995AF4}">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1015</Words>
  <Characters>5790</Characters>
  <Lines>48</Lines>
  <Paragraphs>13</Paragraphs>
  <TotalTime>1</TotalTime>
  <ScaleCrop>false</ScaleCrop>
  <LinksUpToDate>false</LinksUpToDate>
  <CharactersWithSpaces>6792</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2022-12-29T07:45:00Z</dcterms:created>
  <dc:creator>yangyaru</dc:creator>
  <cp:lastModifiedBy>gcb</cp:lastModifiedBy>
  <cp:lastPrinted>2020-10-27T11:16:00Z</cp:lastPrinted>
  <dcterms:modified xsi:type="dcterms:W3CDTF">2025-04-30T10:18:57Z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2AAA31FEBEC74CB8B810812DADCABD06</vt:lpwstr>
  </property>
</Properties>
</file>