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广州银行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联通大王联名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信用卡—视频会员权益细则</w:t>
      </w:r>
    </w:p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楷体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color w:val="auto"/>
          <w:sz w:val="24"/>
          <w:szCs w:val="24"/>
          <w:highlight w:val="none"/>
        </w:rPr>
        <w:t>活动有效期</w:t>
      </w:r>
    </w:p>
    <w:p>
      <w:pPr>
        <w:spacing w:line="360" w:lineRule="auto"/>
        <w:rPr>
          <w:rFonts w:ascii="仿宋" w:hAnsi="仿宋" w:eastAsia="仿宋" w:cs="楷体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即日起至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</w:rPr>
        <w:t xml:space="preserve"> 20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</w:rPr>
        <w:t>年12月31日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楷体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color w:val="auto"/>
          <w:sz w:val="24"/>
          <w:szCs w:val="24"/>
          <w:highlight w:val="none"/>
        </w:rPr>
        <w:t>活动对象</w:t>
      </w:r>
    </w:p>
    <w:p>
      <w:pPr>
        <w:pStyle w:val="5"/>
        <w:numPr>
          <w:numId w:val="0"/>
        </w:numPr>
        <w:spacing w:line="360" w:lineRule="auto"/>
        <w:ind w:leftChars="0"/>
        <w:rPr>
          <w:rFonts w:ascii="仿宋" w:hAnsi="仿宋" w:eastAsia="仿宋" w:cs="楷体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z w:val="24"/>
          <w:szCs w:val="24"/>
          <w:highlight w:val="none"/>
        </w:rPr>
        <w:t>广州银行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  <w:lang w:eastAsia="zh-CN"/>
        </w:rPr>
        <w:t>联通大王联名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</w:rPr>
        <w:t>信用卡（简称“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  <w:lang w:eastAsia="zh-CN"/>
        </w:rPr>
        <w:t>大王信用卡</w:t>
      </w:r>
      <w:r>
        <w:rPr>
          <w:rFonts w:hint="eastAsia" w:ascii="仿宋" w:hAnsi="仿宋" w:eastAsia="仿宋" w:cs="楷体"/>
          <w:color w:val="auto"/>
          <w:sz w:val="24"/>
          <w:szCs w:val="24"/>
          <w:highlight w:val="none"/>
        </w:rPr>
        <w:t>”）持卡人（以下简称“客户”）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楷体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color w:val="auto"/>
          <w:sz w:val="24"/>
          <w:szCs w:val="24"/>
          <w:highlight w:val="none"/>
        </w:rPr>
        <w:t>发卡地区</w:t>
      </w:r>
    </w:p>
    <w:p>
      <w:pPr>
        <w:spacing w:line="360" w:lineRule="auto"/>
        <w:rPr>
          <w:rFonts w:ascii="仿宋" w:hAnsi="仿宋" w:eastAsia="仿宋" w:cs="楷体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我行分支机构所在地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楷体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color w:val="auto"/>
          <w:sz w:val="24"/>
          <w:szCs w:val="24"/>
          <w:highlight w:val="none"/>
        </w:rPr>
        <w:t>权益内容</w:t>
      </w:r>
      <w:bookmarkStart w:id="0" w:name="_GoBack"/>
      <w:bookmarkEnd w:id="0"/>
    </w:p>
    <w:p>
      <w:pPr>
        <w:numPr>
          <w:numId w:val="0"/>
        </w:numPr>
        <w:spacing w:beforeLines="0" w:line="620" w:lineRule="exact"/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全年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最高赠36个月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视频会员：</w:t>
      </w:r>
    </w:p>
    <w:p>
      <w:pPr>
        <w:numPr>
          <w:numId w:val="0"/>
        </w:numPr>
        <w:spacing w:beforeLines="0" w:line="620" w:lineRule="exact"/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权益有效期内，使用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联通大王联名信用卡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进行移动支付消费或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办理消费/账单分期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，满足达标条件，可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领取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以下权益(二选一)：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楷体"/>
          <w:b/>
          <w:bCs w:val="0"/>
          <w:color w:val="auto"/>
          <w:spacing w:val="-12"/>
          <w:kern w:val="0"/>
          <w:sz w:val="24"/>
          <w:szCs w:val="24"/>
          <w:highlight w:val="none"/>
        </w:rPr>
        <w:t>移动支付权益</w:t>
      </w:r>
      <w:r>
        <w:rPr>
          <w:rFonts w:hint="eastAsia" w:ascii="仿宋" w:hAnsi="仿宋" w:eastAsia="仿宋" w:cs="楷体"/>
          <w:b/>
          <w:bCs w:val="0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【享月卡】：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每个自然月消费累计达成6笔移动支付（须分布在不同6天）且每笔</w:t>
      </w:r>
      <w:r>
        <w:rPr>
          <w:rFonts w:hint="eastAsia"/>
          <w:b/>
          <w:bCs/>
          <w:color w:val="auto"/>
          <w:highlight w:val="none"/>
          <w:lang w:eastAsia="zh-CN"/>
        </w:rPr>
        <w:t>≥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66元，即可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领取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视频会员月卡一张（腾讯、爱奇艺、优酷三选一）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；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分期权益【享季卡】：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每个自然月成功办理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12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期及以上分期且累计金额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≥1000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元，即可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领取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视频会员季卡一张（腾讯、爱奇艺、优酷三选一）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楷体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color w:val="auto"/>
          <w:sz w:val="24"/>
          <w:szCs w:val="24"/>
          <w:highlight w:val="none"/>
        </w:rPr>
        <w:t>权益细则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b/>
          <w:bCs w:val="0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bCs w:val="0"/>
          <w:color w:val="auto"/>
          <w:spacing w:val="-12"/>
          <w:kern w:val="0"/>
          <w:sz w:val="24"/>
          <w:szCs w:val="24"/>
          <w:highlight w:val="none"/>
        </w:rPr>
        <w:t>移动支付权益和分期权益互斥，达标客户每月仅能领取一项。当月两项均达标未领取的情况下，仅能领取奖励价值更高的分期权益。已领取一项权益的情况下，无论另一项权益是否达标，均不可再领取。</w:t>
      </w:r>
    </w:p>
    <w:p>
      <w:pPr>
        <w:pStyle w:val="5"/>
        <w:numPr>
          <w:numId w:val="0"/>
        </w:numPr>
        <w:spacing w:line="360" w:lineRule="auto"/>
        <w:ind w:left="420" w:firstLine="0"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）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移动支付：</w:t>
      </w:r>
      <w:r>
        <w:rPr>
          <w:rFonts w:hint="eastAsia" w:ascii="仿宋" w:hAnsi="仿宋" w:eastAsia="仿宋"/>
          <w:color w:val="auto"/>
          <w:spacing w:val="-12"/>
          <w:kern w:val="0"/>
          <w:sz w:val="24"/>
          <w:szCs w:val="24"/>
          <w:highlight w:val="none"/>
        </w:rPr>
        <w:t>支付宝、微信、手机闪付【Apple Pay（Apple Watch），Samsung Pay（MST不参与），Huawei</w:t>
      </w:r>
      <w:r>
        <w:rPr>
          <w:rFonts w:hint="eastAsia" w:ascii="宋体" w:hAnsi="宋体" w:eastAsia="宋体" w:cs="宋体"/>
          <w:color w:val="auto"/>
          <w:spacing w:val="-12"/>
          <w:kern w:val="0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pacing w:val="-12"/>
          <w:kern w:val="0"/>
          <w:sz w:val="24"/>
          <w:szCs w:val="24"/>
          <w:highlight w:val="none"/>
        </w:rPr>
        <w:t>Pay，MI</w:t>
      </w:r>
      <w:r>
        <w:rPr>
          <w:rFonts w:hint="eastAsia" w:ascii="宋体" w:hAnsi="宋体" w:eastAsia="宋体" w:cs="宋体"/>
          <w:color w:val="auto"/>
          <w:spacing w:val="-12"/>
          <w:kern w:val="0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仿宋"/>
          <w:color w:val="auto"/>
          <w:spacing w:val="-12"/>
          <w:kern w:val="0"/>
          <w:sz w:val="24"/>
          <w:szCs w:val="24"/>
          <w:highlight w:val="none"/>
        </w:rPr>
        <w:t>Pay</w:t>
      </w:r>
      <w:r>
        <w:rPr>
          <w:rFonts w:hint="eastAsia" w:ascii="仿宋" w:hAnsi="仿宋" w:eastAsia="仿宋"/>
          <w:color w:val="auto"/>
          <w:spacing w:val="-12"/>
          <w:kern w:val="0"/>
          <w:sz w:val="24"/>
          <w:szCs w:val="24"/>
          <w:highlight w:val="none"/>
        </w:rPr>
        <w:t>，HCE】、银联二维码（广银信用卡App二维码支付、云闪付App二维码支付）。</w:t>
      </w:r>
    </w:p>
    <w:p>
      <w:pPr>
        <w:widowControl/>
        <w:spacing w:line="23" w:lineRule="atLeast"/>
        <w:ind w:firstLine="432" w:firstLineChars="200"/>
        <w:jc w:val="left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）</w:t>
      </w:r>
      <w:r>
        <w:rPr>
          <w:rFonts w:hint="eastAsia" w:ascii="仿宋" w:hAnsi="仿宋" w:eastAsia="仿宋"/>
          <w:color w:val="auto"/>
          <w:spacing w:val="-12"/>
          <w:kern w:val="0"/>
          <w:sz w:val="24"/>
          <w:szCs w:val="24"/>
          <w:highlight w:val="none"/>
        </w:rPr>
        <w:t>分期：包含消费分期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、账单分期。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奖励领取有效期：</w:t>
      </w:r>
    </w:p>
    <w:p>
      <w:pPr>
        <w:pStyle w:val="5"/>
        <w:spacing w:line="360" w:lineRule="auto"/>
        <w:ind w:left="420" w:firstLine="0" w:firstLineChars="0"/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）移动支付权益：自达标当天起的30天内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领取权益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；</w:t>
      </w:r>
    </w:p>
    <w:p>
      <w:pPr>
        <w:pStyle w:val="5"/>
        <w:numPr>
          <w:numId w:val="0"/>
        </w:numPr>
        <w:spacing w:line="360" w:lineRule="auto"/>
        <w:ind w:left="420" w:firstLine="0" w:firstLineChars="0"/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）分期权益：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21:00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前成功办理分期，自达标次日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18：00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起的30个自然日内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领取权益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21:00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后成功办理分期，自达标的第三天（办理当天为第1天）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18：00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起的30个自然日内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领取权益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。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若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客户达标未在有效期内领取权益，则权益失效</w:t>
      </w:r>
      <w:r>
        <w:rPr>
          <w:rFonts w:hint="eastAsia" w:ascii="仿宋" w:hAnsi="仿宋" w:eastAsia="仿宋" w:cs="楷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5"/>
        <w:spacing w:line="360" w:lineRule="auto"/>
        <w:ind w:left="420" w:firstLine="0" w:firstLineChars="0"/>
        <w:rPr>
          <w:rFonts w:hint="eastAsia" w:ascii="仿宋" w:hAnsi="仿宋" w:eastAsia="仿宋" w:cs="楷体"/>
          <w:i w:val="0"/>
          <w:color w:val="auto"/>
          <w:spacing w:val="-12"/>
          <w:kern w:val="0"/>
          <w:szCs w:val="21"/>
          <w:highlight w:val="none"/>
          <w:u w:val="none"/>
        </w:rPr>
      </w:pPr>
      <w:r>
        <w:rPr>
          <w:rFonts w:hint="eastAsia" w:ascii="仿宋" w:hAnsi="仿宋" w:eastAsia="仿宋" w:cs="楷体"/>
          <w:i w:val="0"/>
          <w:color w:val="auto"/>
          <w:spacing w:val="-12"/>
          <w:kern w:val="0"/>
          <w:szCs w:val="21"/>
          <w:highlight w:val="none"/>
          <w:u w:val="none"/>
        </w:rPr>
        <w:t>举例：</w:t>
      </w:r>
    </w:p>
    <w:p>
      <w:pPr>
        <w:pStyle w:val="5"/>
        <w:spacing w:line="360" w:lineRule="auto"/>
        <w:ind w:left="420" w:firstLine="0" w:firstLineChars="0"/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</w:pPr>
      <w:r>
        <w:rPr>
          <w:rFonts w:hint="eastAsia" w:ascii="仿宋" w:hAnsi="仿宋" w:eastAsia="仿宋" w:cs="楷体"/>
          <w:i/>
          <w:color w:val="auto"/>
          <w:spacing w:val="-12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① 移动支付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客户A于6月2日达标移动支付权益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门槛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，在未达标分期权益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门槛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的前提下，可于7月1日24:00前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领取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腾讯视频会员月卡一张，过期失效。若在移动支付权益达标未领取的情况下，又达标分期权益，则仅可领取分期权益；已领取移动支付权益后，再达标分期权益，则不可再领取分期权益。</w:t>
      </w:r>
    </w:p>
    <w:p>
      <w:pPr>
        <w:pStyle w:val="5"/>
        <w:spacing w:line="360" w:lineRule="auto"/>
        <w:ind w:left="420" w:firstLine="0" w:firstLineChars="0"/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 xml:space="preserve">② </w:t>
      </w:r>
      <w:r>
        <w:rPr>
          <w:rFonts w:hint="eastAsia" w:ascii="仿宋" w:hAnsi="仿宋" w:eastAsia="仿宋" w:cs="楷体"/>
          <w:color w:val="auto"/>
          <w:spacing w:val="-12"/>
          <w:kern w:val="0"/>
          <w:sz w:val="21"/>
          <w:szCs w:val="21"/>
          <w:highlight w:val="none"/>
        </w:rPr>
        <w:t>分期</w:t>
      </w:r>
      <w:r>
        <w:rPr>
          <w:rFonts w:hint="eastAsia" w:ascii="仿宋" w:hAnsi="仿宋" w:eastAsia="仿宋" w:cs="楷体"/>
          <w:color w:val="auto"/>
          <w:spacing w:val="-12"/>
          <w:kern w:val="0"/>
          <w:sz w:val="21"/>
          <w:szCs w:val="21"/>
          <w:highlight w:val="none"/>
          <w:lang w:eastAsia="zh-CN"/>
        </w:rPr>
        <w:t>：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客户B于6月2日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val="en-US" w:eastAsia="zh-CN"/>
        </w:rPr>
        <w:t>21:00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前成功办理分期权益，则可于6月3日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18：00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至7月2日24:00前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领取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腾讯视频会员季卡一张，过期失效。若于6月2日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21：00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后成功办理分期权益，则可于6月4日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18：00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至7月3日24:00前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  <w:lang w:eastAsia="zh-CN"/>
        </w:rPr>
        <w:t>领取</w:t>
      </w:r>
      <w:r>
        <w:rPr>
          <w:rFonts w:hint="eastAsia" w:ascii="仿宋" w:hAnsi="仿宋" w:eastAsia="仿宋" w:cs="楷体"/>
          <w:color w:val="auto"/>
          <w:spacing w:val="-12"/>
          <w:kern w:val="0"/>
          <w:szCs w:val="21"/>
          <w:highlight w:val="none"/>
        </w:rPr>
        <w:t>视频会员季卡一张，过期失效。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每月</w:t>
      </w: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视频会员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数量有限，先到先得。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视频会员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领取形式为直充，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直充商品的具体使用情况，详见对应商品详情。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若客户的移动支付消费为地铁交易，则最早于次日入账，计入达标消费的交易时间和交易金额以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我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 xml:space="preserve">行系统记录的入账时间为准。 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对于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因商户未及时向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我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行请款结算或因卡组织或收单行原因导致无法识别的境外交易，恕不计入此活动统计周期。</w:t>
      </w:r>
    </w:p>
    <w:p>
      <w:pPr>
        <w:pStyle w:val="5"/>
        <w:spacing w:line="360" w:lineRule="auto"/>
        <w:ind w:left="420" w:firstLine="0"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pacing w:val="-12"/>
          <w:kern w:val="0"/>
          <w:szCs w:val="21"/>
          <w:highlight w:val="none"/>
        </w:rPr>
        <w:t>举例：客户A在6月3日仅做了一笔地铁交易（移动支付），于6月4日12:00入账后，客户又做了一笔移动支付，则6月3日的地铁交易计入6月4日，6月3日无达标交易。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客户消费后如发生退货、冲正、争议、虚假、退税或撤销等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情况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，或分期成功后发生取消行为，将不计入本活动所指的合格/分期（即可享受奖励领取的消费/分期）。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如发现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客户存在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利用活动规则或计算机系统漏洞恶意套取活动奖励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，在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使用信用卡时有任何舞弊/欺诈行为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或出现任何虚假交易、退货交易、争议交易的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情况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，广州银行信用卡中心有权取消该客户参与本活动的资格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，且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保留收回已发放的奖励之权利。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为确保权益公平和公正，客户应妥善保管相关消费凭证（包括发票等），并在广州银行信用卡中心需要时予以出示。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如客户的信用卡账户在活动有效期内（包含奖励发放时段）处于失效、逾期、销户、冻结及其他非正常状态，则客户自动丧失参与本权益的资格，广州银行信用卡中心不另行通知。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广州银行信用卡中心在法律法规许可范围内保留变更、调整、终止本权益的权利并于相关渠道公布后生效。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  <w:lang w:eastAsia="zh-CN"/>
        </w:rPr>
        <w:t>如客户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出现所持信用卡过期、被停用、管制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自行注销信用卡、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  <w:lang w:val="en-US" w:eastAsia="zh-CN"/>
        </w:rPr>
        <w:t>所欠我行的信用卡及其他债务不偿还</w:t>
      </w:r>
      <w:r>
        <w:rPr>
          <w:rFonts w:hint="eastAsia" w:ascii="仿宋" w:hAnsi="仿宋" w:eastAsia="仿宋" w:cs="楷体"/>
          <w:b/>
          <w:bCs/>
          <w:color w:val="auto"/>
          <w:spacing w:val="-12"/>
          <w:kern w:val="0"/>
          <w:sz w:val="24"/>
          <w:szCs w:val="24"/>
          <w:highlight w:val="none"/>
        </w:rPr>
        <w:t>、违反《广州银行信用卡章程》及相关领用合约或本权益及其他相关规定的，广州银行信用卡中心有权取消该客户参与本权益的资格。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本权益未尽事宜仍受《广州银行信用卡章程》及相关领用合约的约束。广州银行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  <w:lang w:eastAsia="zh-CN"/>
        </w:rPr>
        <w:t>信</w:t>
      </w:r>
      <w:r>
        <w:rPr>
          <w:rFonts w:hint="eastAsia" w:ascii="仿宋" w:hAnsi="仿宋" w:eastAsia="仿宋" w:cs="楷体"/>
          <w:color w:val="auto"/>
          <w:spacing w:val="-12"/>
          <w:kern w:val="0"/>
          <w:sz w:val="24"/>
          <w:szCs w:val="24"/>
          <w:highlight w:val="none"/>
        </w:rPr>
        <w:t>用卡中心具有本权益的最终解释权。</w:t>
      </w:r>
    </w:p>
    <w:p>
      <w:pPr>
        <w:rPr>
          <w:color w:val="auto"/>
          <w:highlight w:val="none"/>
        </w:rPr>
      </w:pPr>
    </w:p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auto"/>
          <w:kern w:val="2"/>
          <w:sz w:val="36"/>
          <w:szCs w:val="36"/>
          <w:highlight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8568362">
    <w:nsid w:val="5C4D472A"/>
    <w:multiLevelType w:val="multilevel"/>
    <w:tmpl w:val="5C4D472A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default" w:cs="楷体"/>
        <w:b/>
        <w:color w:val="auto"/>
      </w:rPr>
    </w:lvl>
    <w:lvl w:ilvl="1" w:tentative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7802259">
    <w:nsid w:val="3A481413"/>
    <w:multiLevelType w:val="multilevel"/>
    <w:tmpl w:val="3A481413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decimal"/>
      <w:lvlText w:val="%2."/>
      <w:lvlJc w:val="left"/>
      <w:pPr>
        <w:ind w:left="780" w:hanging="360"/>
      </w:pPr>
      <w:rPr>
        <w:rFonts w:cs="楷体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76153637">
    <w:nsid w:val="5DF23225"/>
    <w:multiLevelType w:val="multilevel"/>
    <w:tmpl w:val="5DF23225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default" w:cs="楷体"/>
        <w:b/>
        <w:color w:val="auto"/>
      </w:rPr>
    </w:lvl>
    <w:lvl w:ilvl="1" w:tentative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77802259"/>
    <w:lvlOverride w:ilvl="0">
      <w:startOverride w:val="1"/>
    </w:lvlOverride>
  </w:num>
  <w:num w:numId="2">
    <w:abstractNumId w:val="1548568362"/>
  </w:num>
  <w:num w:numId="3">
    <w:abstractNumId w:val="15761536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0"/>
      <w:lang w:val="en-US" w:eastAsia="zh-CN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gcb</cp:lastModifiedBy>
  <dcterms:modified xsi:type="dcterms:W3CDTF">2021-05-13T03:27:31Z</dcterms:modified>
  <dc:title>广州银行联通大王联名信用卡—视频会员权益细则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